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B9" w:rsidRDefault="005667B9" w:rsidP="002754F5">
      <w:pPr>
        <w:pStyle w:val="titolodeliberaz"/>
        <w:spacing w:before="0" w:after="0" w:line="240" w:lineRule="auto"/>
        <w:jc w:val="left"/>
        <w:rPr>
          <w:rFonts w:ascii="Arial" w:hAnsi="Arial" w:cs="Arial"/>
          <w:b w:val="0"/>
          <w:szCs w:val="18"/>
        </w:rPr>
      </w:pPr>
    </w:p>
    <w:p w:rsidR="00A64807" w:rsidRDefault="00081859" w:rsidP="00081859">
      <w:pPr>
        <w:jc w:val="center"/>
        <w:rPr>
          <w:rFonts w:ascii="Arial" w:hAnsi="Arial" w:cs="Arial"/>
        </w:rPr>
      </w:pPr>
      <w:r>
        <w:rPr>
          <w:rFonts w:ascii="Arial" w:hAnsi="Arial" w:cs="Arial"/>
        </w:rPr>
        <w:t>Servizio Amministrativo</w:t>
      </w:r>
    </w:p>
    <w:p w:rsidR="00081859" w:rsidRDefault="00081859" w:rsidP="00081859">
      <w:pPr>
        <w:jc w:val="center"/>
        <w:rPr>
          <w:rFonts w:ascii="Arial" w:hAnsi="Arial" w:cs="Arial"/>
        </w:rPr>
      </w:pPr>
      <w:r>
        <w:rPr>
          <w:rFonts w:ascii="Arial" w:hAnsi="Arial" w:cs="Arial"/>
        </w:rPr>
        <w:t>Settore Bilancio e Controllo di Gestione</w:t>
      </w:r>
    </w:p>
    <w:p w:rsidR="0068401E" w:rsidRDefault="0068401E" w:rsidP="00081859">
      <w:pPr>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5028"/>
        <w:gridCol w:w="4727"/>
      </w:tblGrid>
      <w:tr w:rsidR="00263D59" w:rsidRPr="00263737" w:rsidTr="0068401E">
        <w:trPr>
          <w:trHeight w:val="555"/>
          <w:jc w:val="center"/>
        </w:trPr>
        <w:tc>
          <w:tcPr>
            <w:tcW w:w="14958" w:type="dxa"/>
            <w:gridSpan w:val="3"/>
            <w:shd w:val="clear" w:color="auto" w:fill="auto"/>
            <w:vAlign w:val="center"/>
          </w:tcPr>
          <w:p w:rsidR="00263D59" w:rsidRPr="00B2728D" w:rsidRDefault="003365B1" w:rsidP="00C95CCE">
            <w:pPr>
              <w:pStyle w:val="Normalelt"/>
              <w:tabs>
                <w:tab w:val="left" w:pos="2520"/>
                <w:tab w:val="left" w:pos="3600"/>
                <w:tab w:val="left" w:pos="4680"/>
              </w:tabs>
              <w:spacing w:before="0" w:after="0" w:line="240" w:lineRule="auto"/>
              <w:jc w:val="center"/>
              <w:rPr>
                <w:b/>
                <w:sz w:val="24"/>
              </w:rPr>
            </w:pPr>
            <w:r>
              <w:rPr>
                <w:b/>
                <w:sz w:val="24"/>
              </w:rPr>
              <w:t xml:space="preserve">INDICATORE </w:t>
            </w:r>
            <w:r w:rsidR="00C95CCE">
              <w:rPr>
                <w:b/>
                <w:sz w:val="24"/>
              </w:rPr>
              <w:t>ANNUALE</w:t>
            </w:r>
            <w:r>
              <w:rPr>
                <w:b/>
                <w:sz w:val="24"/>
              </w:rPr>
              <w:t xml:space="preserve"> </w:t>
            </w:r>
            <w:r w:rsidR="00263D59" w:rsidRPr="00B2728D">
              <w:rPr>
                <w:b/>
                <w:sz w:val="24"/>
              </w:rPr>
              <w:t>DI TEMPESTIVITA’ DEI PAGAMENTI</w:t>
            </w:r>
            <w:r w:rsidR="00C95CCE">
              <w:rPr>
                <w:b/>
                <w:sz w:val="24"/>
              </w:rPr>
              <w:t xml:space="preserve"> </w:t>
            </w:r>
            <w:r w:rsidR="00263D59" w:rsidRPr="00B2728D">
              <w:rPr>
                <w:b/>
                <w:sz w:val="24"/>
              </w:rPr>
              <w:t xml:space="preserve">                                 </w:t>
            </w:r>
          </w:p>
        </w:tc>
      </w:tr>
      <w:tr w:rsidR="00263D59" w:rsidRPr="00263737" w:rsidTr="0068401E">
        <w:trPr>
          <w:trHeight w:val="1001"/>
          <w:jc w:val="center"/>
        </w:trPr>
        <w:tc>
          <w:tcPr>
            <w:tcW w:w="5203" w:type="dxa"/>
            <w:shd w:val="clear" w:color="auto" w:fill="auto"/>
            <w:vAlign w:val="center"/>
          </w:tcPr>
          <w:p w:rsidR="00263D59" w:rsidRPr="00B2728D" w:rsidRDefault="00C47581" w:rsidP="0068401E">
            <w:pPr>
              <w:rPr>
                <w:rFonts w:ascii="Arial" w:eastAsia="Times New Roman" w:hAnsi="Arial" w:cs="Arial"/>
                <w:sz w:val="22"/>
                <w:szCs w:val="22"/>
                <w:lang w:eastAsia="it-IT"/>
              </w:rPr>
            </w:pPr>
            <w:r>
              <w:rPr>
                <w:rFonts w:ascii="Arial" w:eastAsia="Times New Roman" w:hAnsi="Arial" w:cs="Arial"/>
                <w:sz w:val="22"/>
                <w:szCs w:val="22"/>
                <w:lang w:eastAsia="it-IT"/>
              </w:rPr>
              <w:t>ANNO 2022</w:t>
            </w:r>
            <w:r w:rsidR="00C95CCE" w:rsidRPr="00B2728D">
              <w:rPr>
                <w:rFonts w:ascii="Arial" w:eastAsia="Times New Roman" w:hAnsi="Arial" w:cs="Arial"/>
                <w:sz w:val="22"/>
                <w:szCs w:val="22"/>
                <w:lang w:eastAsia="it-IT"/>
              </w:rPr>
              <w:t xml:space="preserve"> –</w:t>
            </w:r>
            <w:r w:rsidR="009C4083">
              <w:rPr>
                <w:rFonts w:ascii="Arial" w:eastAsia="Times New Roman" w:hAnsi="Arial" w:cs="Arial"/>
                <w:i/>
                <w:sz w:val="18"/>
                <w:szCs w:val="18"/>
                <w:lang w:eastAsia="it-IT"/>
              </w:rPr>
              <w:t xml:space="preserve"> scadenza 31/</w:t>
            </w:r>
            <w:r w:rsidR="0068401E">
              <w:rPr>
                <w:rFonts w:ascii="Arial" w:eastAsia="Times New Roman" w:hAnsi="Arial" w:cs="Arial"/>
                <w:i/>
                <w:sz w:val="18"/>
                <w:szCs w:val="18"/>
                <w:lang w:eastAsia="it-IT"/>
              </w:rPr>
              <w:t>0</w:t>
            </w:r>
            <w:r w:rsidR="009C4083">
              <w:rPr>
                <w:rFonts w:ascii="Arial" w:eastAsia="Times New Roman" w:hAnsi="Arial" w:cs="Arial"/>
                <w:i/>
                <w:sz w:val="18"/>
                <w:szCs w:val="18"/>
                <w:lang w:eastAsia="it-IT"/>
              </w:rPr>
              <w:t>1/202</w:t>
            </w:r>
            <w:r>
              <w:rPr>
                <w:rFonts w:ascii="Arial" w:eastAsia="Times New Roman" w:hAnsi="Arial" w:cs="Arial"/>
                <w:i/>
                <w:sz w:val="18"/>
                <w:szCs w:val="18"/>
                <w:lang w:eastAsia="it-IT"/>
              </w:rPr>
              <w:t>3</w:t>
            </w:r>
          </w:p>
        </w:tc>
        <w:tc>
          <w:tcPr>
            <w:tcW w:w="5028" w:type="dxa"/>
            <w:shd w:val="clear" w:color="auto" w:fill="auto"/>
            <w:vAlign w:val="center"/>
          </w:tcPr>
          <w:p w:rsidR="00263D59" w:rsidRPr="000F4C23" w:rsidRDefault="002A79CE" w:rsidP="00C47581">
            <w:pPr>
              <w:pStyle w:val="Normalelt"/>
              <w:tabs>
                <w:tab w:val="left" w:pos="2520"/>
                <w:tab w:val="left" w:pos="3600"/>
                <w:tab w:val="left" w:pos="4680"/>
              </w:tabs>
              <w:spacing w:after="0"/>
              <w:ind w:left="720"/>
              <w:jc w:val="center"/>
              <w:rPr>
                <w:sz w:val="22"/>
                <w:szCs w:val="22"/>
              </w:rPr>
            </w:pPr>
            <w:r>
              <w:rPr>
                <w:sz w:val="22"/>
                <w:szCs w:val="22"/>
              </w:rPr>
              <w:t>-</w:t>
            </w:r>
            <w:r w:rsidR="00C47581">
              <w:rPr>
                <w:sz w:val="22"/>
                <w:szCs w:val="22"/>
              </w:rPr>
              <w:t>15,78</w:t>
            </w:r>
            <w:r w:rsidR="00D3315D">
              <w:rPr>
                <w:sz w:val="22"/>
                <w:szCs w:val="22"/>
              </w:rPr>
              <w:t xml:space="preserve"> </w:t>
            </w:r>
            <w:r w:rsidR="00BE4301" w:rsidRPr="00BE4301">
              <w:rPr>
                <w:sz w:val="22"/>
                <w:szCs w:val="22"/>
              </w:rPr>
              <w:t>GIORNI SOLARI</w:t>
            </w:r>
          </w:p>
        </w:tc>
        <w:tc>
          <w:tcPr>
            <w:tcW w:w="4727" w:type="dxa"/>
            <w:vAlign w:val="center"/>
          </w:tcPr>
          <w:p w:rsidR="00263D59" w:rsidRPr="002A79CE" w:rsidRDefault="00BE4301" w:rsidP="00C47581">
            <w:pPr>
              <w:pStyle w:val="Normalelt"/>
              <w:tabs>
                <w:tab w:val="left" w:pos="2520"/>
                <w:tab w:val="left" w:pos="3600"/>
                <w:tab w:val="left" w:pos="4680"/>
              </w:tabs>
              <w:spacing w:before="0" w:after="0" w:line="240" w:lineRule="auto"/>
              <w:jc w:val="center"/>
              <w:rPr>
                <w:rFonts w:ascii="Calibri" w:hAnsi="Calibri" w:cs="Calibri"/>
                <w:color w:val="000000"/>
                <w:sz w:val="22"/>
                <w:szCs w:val="22"/>
              </w:rPr>
            </w:pPr>
            <w:r>
              <w:rPr>
                <w:b/>
                <w:bCs/>
                <w:color w:val="000000"/>
                <w:shd w:val="clear" w:color="auto" w:fill="FFFFFF"/>
              </w:rPr>
              <w:t>Ammontare complessivo debiti: €</w:t>
            </w:r>
            <w:r w:rsidR="002A79CE">
              <w:rPr>
                <w:b/>
                <w:bCs/>
                <w:color w:val="000000"/>
                <w:shd w:val="clear" w:color="auto" w:fill="FFFFFF"/>
              </w:rPr>
              <w:t xml:space="preserve"> </w:t>
            </w:r>
            <w:r w:rsidR="00C47581">
              <w:rPr>
                <w:rFonts w:ascii="Calibri" w:hAnsi="Calibri" w:cs="Calibri"/>
                <w:color w:val="000000"/>
                <w:sz w:val="22"/>
                <w:szCs w:val="22"/>
              </w:rPr>
              <w:t>369,88</w:t>
            </w:r>
            <w:bookmarkStart w:id="0" w:name="_GoBack"/>
            <w:bookmarkEnd w:id="0"/>
          </w:p>
        </w:tc>
      </w:tr>
    </w:tbl>
    <w:p w:rsidR="00B2728D" w:rsidRDefault="00B2728D" w:rsidP="00A84CC1">
      <w:pPr>
        <w:pStyle w:val="Normalelt"/>
        <w:tabs>
          <w:tab w:val="left" w:pos="2520"/>
          <w:tab w:val="left" w:pos="3600"/>
          <w:tab w:val="left" w:pos="4680"/>
        </w:tabs>
        <w:spacing w:before="0" w:after="0" w:line="240" w:lineRule="auto"/>
        <w:jc w:val="both"/>
        <w:rPr>
          <w:sz w:val="18"/>
          <w:szCs w:val="18"/>
        </w:rPr>
      </w:pPr>
    </w:p>
    <w:p w:rsidR="002A79CE" w:rsidRPr="002A79CE" w:rsidRDefault="002A79CE" w:rsidP="002A79CE">
      <w:pPr>
        <w:pStyle w:val="Normalelt"/>
        <w:tabs>
          <w:tab w:val="left" w:pos="2520"/>
          <w:tab w:val="left" w:pos="3600"/>
          <w:tab w:val="left" w:pos="4680"/>
        </w:tabs>
        <w:ind w:left="9639"/>
        <w:jc w:val="center"/>
      </w:pPr>
      <w:r w:rsidRPr="002A79CE">
        <w:t>Firmato</w:t>
      </w:r>
    </w:p>
    <w:p w:rsidR="002A79CE" w:rsidRPr="002A79CE" w:rsidRDefault="002A79CE" w:rsidP="002A79CE">
      <w:pPr>
        <w:pStyle w:val="Normalelt"/>
        <w:tabs>
          <w:tab w:val="left" w:pos="2520"/>
          <w:tab w:val="left" w:pos="3600"/>
          <w:tab w:val="left" w:pos="4680"/>
        </w:tabs>
        <w:ind w:left="9639"/>
        <w:jc w:val="center"/>
        <w:rPr>
          <w:b/>
          <w:bCs/>
        </w:rPr>
      </w:pPr>
      <w:r w:rsidRPr="002A79CE">
        <w:rPr>
          <w:b/>
          <w:bCs/>
        </w:rPr>
        <w:t>Il Direttore del Servizio Amministrativo</w:t>
      </w:r>
    </w:p>
    <w:p w:rsidR="002A79CE" w:rsidRPr="002A79CE" w:rsidRDefault="002A79CE" w:rsidP="002A79CE">
      <w:pPr>
        <w:pStyle w:val="Normalelt"/>
        <w:tabs>
          <w:tab w:val="left" w:pos="2520"/>
          <w:tab w:val="left" w:pos="3600"/>
          <w:tab w:val="left" w:pos="4680"/>
        </w:tabs>
        <w:ind w:left="9639"/>
        <w:jc w:val="center"/>
      </w:pPr>
      <w:r w:rsidRPr="002A79CE">
        <w:t>Dott. Antonio Francesco Temussi</w:t>
      </w:r>
    </w:p>
    <w:p w:rsidR="00BF2C74" w:rsidRPr="00BF2C74" w:rsidRDefault="004B70C9" w:rsidP="00BF2C74">
      <w:pPr>
        <w:pStyle w:val="Normalelt"/>
        <w:tabs>
          <w:tab w:val="left" w:pos="2520"/>
          <w:tab w:val="left" w:pos="3600"/>
          <w:tab w:val="left" w:pos="4680"/>
        </w:tabs>
        <w:jc w:val="both"/>
        <w:rPr>
          <w:b/>
          <w:bCs/>
          <w:szCs w:val="20"/>
        </w:rPr>
      </w:pPr>
      <w:r>
        <w:rPr>
          <w:b/>
          <w:bCs/>
          <w:szCs w:val="20"/>
        </w:rPr>
        <w:br w:type="page"/>
      </w:r>
      <w:r w:rsidR="00BF2C74" w:rsidRPr="00BF2C74">
        <w:rPr>
          <w:b/>
          <w:bCs/>
          <w:szCs w:val="20"/>
        </w:rPr>
        <w:lastRenderedPageBreak/>
        <w:t>D. Lgs. 14/03/2013, n. 33 - Riordino della disciplina riguardante gli obblighi di pubblicità, trasparenza e diffusione di informazioni da parte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33</w:t>
      </w:r>
      <w:r w:rsidRPr="00BF2C74">
        <w:rPr>
          <w:szCs w:val="20"/>
        </w:rPr>
        <w:t xml:space="preserve">  </w:t>
      </w:r>
      <w:r w:rsidRPr="00BF2C74">
        <w:rPr>
          <w:b/>
          <w:bCs/>
          <w:szCs w:val="20"/>
        </w:rPr>
        <w:t>Obblighi di pubblicazione concernenti i tempi di pagamento dell'amministrazione</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1.  Le pubbliche amministrazioni pubblicano, con cadenza annuale, un indicatore dei propri tempi medi di pagamento relativi agli acquisti di beni, servizi e forniture, denominato «indicatore annuale di tempestività dei pagamenti». A decorrere dall'anno 2015, con cadenza trimestrale, le pubbliche amministrazioni pubblicano un indicatore, avente il medesimo oggetto, denominato «indicatore trimestrale di tempestività dei pagamenti». Gli indicatori di cui al presente comma sono elaborati e pubblicati, anche attraverso il ricorso a un portale unico, secondo uno schema tipo e modalità definiti con decreto del Presidente del Consiglio dei ministri da adottare sentita la Conferenza unificata.</w:t>
      </w:r>
    </w:p>
    <w:p w:rsidR="00BF2C74" w:rsidRPr="00BF2C74" w:rsidRDefault="00BF2C74" w:rsidP="00BF2C74">
      <w:pPr>
        <w:pStyle w:val="Normalelt"/>
        <w:tabs>
          <w:tab w:val="left" w:pos="2520"/>
          <w:tab w:val="left" w:pos="3600"/>
          <w:tab w:val="left" w:pos="4680"/>
        </w:tabs>
        <w:spacing w:before="0" w:after="0"/>
        <w:jc w:val="both"/>
        <w:rPr>
          <w:b/>
          <w:bCs/>
          <w:szCs w:val="20"/>
        </w:rPr>
      </w:pP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D.P.C.M. 22/09/2014</w:t>
      </w: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Definizione degli schemi e delle modalità per la pubblicazione su internet dei dati relativi alle entrate e alla spesa dei bilanci preventivi e consuntivi e dell'indicatore annuale di tempestività dei pagamenti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9.</w:t>
      </w:r>
      <w:r w:rsidRPr="00BF2C74">
        <w:rPr>
          <w:szCs w:val="20"/>
        </w:rPr>
        <w:t xml:space="preserve">  </w:t>
      </w:r>
      <w:r w:rsidRPr="00BF2C74">
        <w:rPr>
          <w:b/>
          <w:bCs/>
          <w:szCs w:val="20"/>
        </w:rPr>
        <w:t>Definizione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pubbliche amministrazioni elaborano, sulla base delle modalità di cui ai commi da 3 a 5 del presente articolo, un indicatore annuale dei propri tempi medi di pagamento relativi agli acquisti di beni, servizi e forniture, denominato: «indicatore annuale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le pubbliche amministrazioni elaborano, sulla base delle modalità di cui ai commi da 3 a 5 del presente articolo, un indicatore trimestrale dei propri tempi medi di pagamento relativi agli acquisti di beni, servizi e forniture, denominato: «indicatore trimestrale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L'indicatore di tempestività dei pagamenti di cui ai commi 1 e 2 del presente articolo 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4.  Ai fini del presente decreto e del calcolo dell'indicatore si intende per: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a.  “transazione commerciale”, i contratti, comunque denominati, tra imprese e pubbliche amministrazioni, che comportano, in via esclusiva o prevalente, la consegna di merci o la prestazione di servizi contro il pagamento di un prezzo;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b.  “giorni effettivi”, tutti i giorni da calendario, compresi i festivi;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c.  “data di pagamento”, la data di trasmissione dell'ordinativo di pagamento in tesoreria;</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d.  “data di scadenza”, i termini previsti dall' </w:t>
      </w:r>
      <w:hyperlink r:id="rId7" w:anchor="id=10LX0000152735ART5,__m=document" w:history="1">
        <w:r w:rsidRPr="00BF2C74">
          <w:rPr>
            <w:rStyle w:val="Collegamentoipertestuale"/>
            <w:i/>
            <w:iCs/>
            <w:color w:val="auto"/>
            <w:szCs w:val="20"/>
          </w:rPr>
          <w:t>art. 4 del decreto legislativo 9 ottobre 2002, n. 231</w:t>
        </w:r>
        <w:r w:rsidRPr="00BF2C74">
          <w:rPr>
            <w:rStyle w:val="Collegamentoipertestuale"/>
            <w:color w:val="auto"/>
            <w:szCs w:val="20"/>
          </w:rPr>
          <w:t xml:space="preserve"> </w:t>
        </w:r>
      </w:hyperlink>
      <w:r w:rsidRPr="00BF2C74">
        <w:rPr>
          <w:szCs w:val="20"/>
        </w:rPr>
        <w:t xml:space="preserve">, come modificato dal </w:t>
      </w:r>
      <w:hyperlink r:id="rId8" w:anchor="id=10LX0000776586ART0,__m=document" w:history="1">
        <w:r w:rsidRPr="00BF2C74">
          <w:rPr>
            <w:rStyle w:val="Collegamentoipertestuale"/>
            <w:i/>
            <w:iCs/>
            <w:color w:val="auto"/>
            <w:szCs w:val="20"/>
          </w:rPr>
          <w:t>decreto legislativo 9 novembre 2012, n. 192</w:t>
        </w:r>
        <w:r w:rsidRPr="00BF2C74">
          <w:rPr>
            <w:rStyle w:val="Collegamentoipertestuale"/>
            <w:color w:val="auto"/>
            <w:szCs w:val="20"/>
          </w:rPr>
          <w:t xml:space="preserve"> </w:t>
        </w:r>
      </w:hyperlink>
      <w:r w:rsidRPr="00BF2C74">
        <w:rPr>
          <w:szCs w:val="20"/>
        </w:rPr>
        <w:t>;</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e.  “importo dovuto”, la somma da pagare entro il termine contrattuale o legale di pagamento, comprese le imposte, i dazi, le tasse o gli oneri applicabili indicati nella fattura o nella richiesta equivalente di pagamento.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5.  Sono esclusi dal calcolo i periodi in cui la somma era inesigibile essendo la richiesta di pagamento oggetto di contestazione o contenzioso.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6.  L'indicatore di cui al comma 1 del presente articolo è utilizzato anche ai fini della disposizione di cui all' </w:t>
      </w:r>
      <w:hyperlink r:id="rId9" w:anchor="id=10LX0000798625ART98,__m=document" w:history="1">
        <w:r w:rsidRPr="00BF2C74">
          <w:rPr>
            <w:rStyle w:val="Collegamentoipertestuale"/>
            <w:i/>
            <w:iCs/>
            <w:color w:val="auto"/>
            <w:szCs w:val="20"/>
          </w:rPr>
          <w:t>art. 41, comma 1, del decreto-legge 24 aprile 2014, n. 66</w:t>
        </w:r>
        <w:r w:rsidRPr="00BF2C74">
          <w:rPr>
            <w:rStyle w:val="Collegamentoipertestuale"/>
            <w:color w:val="auto"/>
            <w:szCs w:val="20"/>
          </w:rPr>
          <w:t xml:space="preserve"> </w:t>
        </w:r>
      </w:hyperlink>
      <w:r w:rsidRPr="00BF2C74">
        <w:rPr>
          <w:szCs w:val="20"/>
        </w:rPr>
        <w:t xml:space="preserve">. Le </w:t>
      </w:r>
      <w:r w:rsidRPr="00BF2C74">
        <w:rPr>
          <w:szCs w:val="20"/>
        </w:rPr>
        <w:lastRenderedPageBreak/>
        <w:t xml:space="preserve">amministrazioni regionali calcolano l'indicatore escludendo le transazioni riferibili alla Gestione Sanitaria Accentrata di cui all' </w:t>
      </w:r>
      <w:hyperlink r:id="rId10" w:anchor="id=10LX0000756196ART37,__m=document" w:history="1">
        <w:r w:rsidRPr="00BF2C74">
          <w:rPr>
            <w:rStyle w:val="Collegamentoipertestuale"/>
            <w:i/>
            <w:iCs/>
            <w:color w:val="auto"/>
            <w:szCs w:val="20"/>
          </w:rPr>
          <w:t>art. 19, comma 2, lettera b), punto i), del decreto legislativo 23 giugno 2011, n. 118</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7.  Le amministrazioni regionali elaborano l'indicatore di tempestività dei pagamenti di cui ai commi 1 e 2, con riferimento all'intero bilancio regionale, alla Gestione Sanitaria Accentrata e alla componente non sanitaria.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8.  Per le amministrazioni centrali dello Stato, le note integrative allegate al bilancio disciplinate dall' </w:t>
      </w:r>
      <w:hyperlink r:id="rId11" w:anchor="id=10LX0000654083ART98,__m=document" w:history="1">
        <w:r w:rsidRPr="00BF2C74">
          <w:rPr>
            <w:rStyle w:val="Collegamentoipertestuale"/>
            <w:i/>
            <w:iCs/>
            <w:color w:val="auto"/>
            <w:szCs w:val="20"/>
          </w:rPr>
          <w:t>art. 35, comma 2, della legge 31 dicembre 2009, n. 196</w:t>
        </w:r>
        <w:r w:rsidRPr="00BF2C74">
          <w:rPr>
            <w:rStyle w:val="Collegamentoipertestuale"/>
            <w:color w:val="auto"/>
            <w:szCs w:val="20"/>
          </w:rPr>
          <w:t xml:space="preserve"> </w:t>
        </w:r>
      </w:hyperlink>
      <w:r w:rsidRPr="00BF2C74">
        <w:rPr>
          <w:szCs w:val="20"/>
        </w:rPr>
        <w:t xml:space="preserve">, costituiscono il prospetto di cui all' </w:t>
      </w:r>
      <w:hyperlink r:id="rId12" w:anchor="id=10LX0000798625ART98,__m=document" w:history="1">
        <w:r w:rsidRPr="00BF2C74">
          <w:rPr>
            <w:rStyle w:val="Collegamentoipertestuale"/>
            <w:i/>
            <w:iCs/>
            <w:color w:val="auto"/>
            <w:szCs w:val="20"/>
          </w:rPr>
          <w:t>art. 41 del decreto-legge 24 aprile 2014, n. 66</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9.  Gli enti vigilati e le unità locali di cui all' </w:t>
      </w:r>
      <w:hyperlink r:id="rId13" w:anchor="id=10LX0000754539ART46,__m=document" w:history="1">
        <w:r w:rsidRPr="00BF2C74">
          <w:rPr>
            <w:rStyle w:val="Collegamentoipertestuale"/>
            <w:i/>
            <w:iCs/>
            <w:color w:val="auto"/>
            <w:szCs w:val="20"/>
          </w:rPr>
          <w:t>art. 19, comma 4, del decreto legislativo 31 maggio 2011, n. 91</w:t>
        </w:r>
        <w:r w:rsidRPr="00BF2C74">
          <w:rPr>
            <w:rStyle w:val="Collegamentoipertestuale"/>
            <w:color w:val="auto"/>
            <w:szCs w:val="20"/>
          </w:rPr>
          <w:t xml:space="preserve"> </w:t>
        </w:r>
      </w:hyperlink>
      <w:r w:rsidRPr="00BF2C74">
        <w:rPr>
          <w:szCs w:val="20"/>
        </w:rPr>
        <w:t xml:space="preserve">, trasmettono altresì l’«indicatore annuale di tempestività dei pagamenti», unitamente al bilancio consuntivo, al Ministero vigilante per il consolidamento e il monitoraggio degli obiettivi connessi all'azione pubblica.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b/>
          <w:bCs/>
          <w:szCs w:val="20"/>
        </w:rPr>
        <w:t>Art. 10.</w:t>
      </w:r>
      <w:r w:rsidRPr="00BF2C74">
        <w:rPr>
          <w:szCs w:val="20"/>
        </w:rPr>
        <w:t xml:space="preserve">  </w:t>
      </w:r>
      <w:r w:rsidRPr="00BF2C74">
        <w:rPr>
          <w:b/>
          <w:bCs/>
          <w:szCs w:val="20"/>
        </w:rPr>
        <w:t>Modalità per la pubblicazione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amministrazioni pubblicano l’«indicatore annuale di tempestività dei pagamenti» di cui all' </w:t>
      </w:r>
      <w:hyperlink r:id="rId14" w:anchor="id=10LX0000806340ART21,__m=document" w:history="1">
        <w:r w:rsidRPr="00BF2C74">
          <w:rPr>
            <w:rStyle w:val="Collegamentoipertestuale"/>
            <w:i/>
            <w:iCs/>
            <w:color w:val="auto"/>
            <w:szCs w:val="20"/>
          </w:rPr>
          <w:t>art. 9, comma 1</w:t>
        </w:r>
        <w:r w:rsidRPr="00BF2C74">
          <w:rPr>
            <w:rStyle w:val="Collegamentoipertestuale"/>
            <w:color w:val="auto"/>
            <w:szCs w:val="20"/>
          </w:rPr>
          <w:t xml:space="preserve"> </w:t>
        </w:r>
      </w:hyperlink>
      <w:r w:rsidRPr="00BF2C74">
        <w:rPr>
          <w:szCs w:val="20"/>
        </w:rPr>
        <w:t xml:space="preserve">, del presente decreto entro il 31 gennaio dell'anno successivo a quello di riferimento,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con cadenza trimestrale, le amministrazioni pubblicano l’«indicatore trimestrale di tempestività dei pagamenti» di cui all' </w:t>
      </w:r>
      <w:hyperlink r:id="rId15" w:anchor="id=10LX0000806340ART21,__m=document" w:history="1">
        <w:r w:rsidRPr="00BF2C74">
          <w:rPr>
            <w:rStyle w:val="Collegamentoipertestuale"/>
            <w:i/>
            <w:iCs/>
            <w:color w:val="auto"/>
            <w:szCs w:val="20"/>
          </w:rPr>
          <w:t>art. 9, comma 2</w:t>
        </w:r>
        <w:r w:rsidRPr="00BF2C74">
          <w:rPr>
            <w:rStyle w:val="Collegamentoipertestuale"/>
            <w:color w:val="auto"/>
            <w:szCs w:val="20"/>
          </w:rPr>
          <w:t xml:space="preserve"> </w:t>
        </w:r>
      </w:hyperlink>
      <w:r w:rsidRPr="00BF2C74">
        <w:rPr>
          <w:szCs w:val="20"/>
        </w:rPr>
        <w:t xml:space="preserve">, del presente decreto entro il trentesimo giorno dalla conclusione del trimestre cui si riferisce,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Gli indicatori di cui ai commi 1 e 2 sono pubblicati sul proprio sito internet istituzionale nella sezione “Amministrazione trasparente/Pagamenti dell'amministrazione” di cui all' </w:t>
      </w:r>
      <w:hyperlink r:id="rId16" w:anchor="id=10LX0000783063ART91,__m=document" w:history="1">
        <w:r w:rsidRPr="00BF2C74">
          <w:rPr>
            <w:rStyle w:val="Collegamentoipertestuale"/>
            <w:i/>
            <w:iCs/>
            <w:color w:val="auto"/>
            <w:szCs w:val="20"/>
          </w:rPr>
          <w:t>allegato A del decreto legislativo 14 marzo 2013, n. 33</w:t>
        </w:r>
        <w:r w:rsidRPr="00BF2C74">
          <w:rPr>
            <w:rStyle w:val="Collegamentoipertestuale"/>
            <w:color w:val="auto"/>
            <w:szCs w:val="20"/>
          </w:rPr>
          <w:t xml:space="preserve"> </w:t>
        </w:r>
      </w:hyperlink>
      <w:r w:rsidRPr="00BF2C74">
        <w:rPr>
          <w:szCs w:val="20"/>
        </w:rPr>
        <w:t xml:space="preserve">, in un formato tabellare aperto che ne consenta l'esportazione, il trattamento e il riutilizzo ai sensi dell' </w:t>
      </w:r>
      <w:hyperlink r:id="rId17" w:anchor="id=10LX0000783063ART22,__m=document" w:history="1">
        <w:r w:rsidRPr="00BF2C74">
          <w:rPr>
            <w:rStyle w:val="Collegamentoipertestuale"/>
            <w:i/>
            <w:iCs/>
            <w:color w:val="auto"/>
            <w:szCs w:val="20"/>
          </w:rPr>
          <w:t>art. 7 del decreto legislativo n. 33 del 2013</w:t>
        </w:r>
        <w:r w:rsidRPr="00BF2C74">
          <w:rPr>
            <w:rStyle w:val="Collegamentoipertestuale"/>
            <w:color w:val="auto"/>
            <w:szCs w:val="20"/>
          </w:rPr>
          <w:t xml:space="preserve"> </w:t>
        </w:r>
      </w:hyperlink>
    </w:p>
    <w:p w:rsidR="00BF2C74" w:rsidRPr="00BF2C74" w:rsidRDefault="00BF2C74" w:rsidP="00BF2C74">
      <w:pPr>
        <w:pStyle w:val="Normalelt"/>
        <w:tabs>
          <w:tab w:val="left" w:pos="2520"/>
          <w:tab w:val="left" w:pos="3600"/>
          <w:tab w:val="left" w:pos="4680"/>
        </w:tabs>
        <w:spacing w:before="0" w:after="0" w:line="240" w:lineRule="auto"/>
        <w:jc w:val="both"/>
        <w:rPr>
          <w:sz w:val="18"/>
          <w:szCs w:val="18"/>
        </w:rPr>
      </w:pPr>
    </w:p>
    <w:p w:rsidR="00B2728D" w:rsidRDefault="00B2728D" w:rsidP="00125354">
      <w:pPr>
        <w:pStyle w:val="Normalelt"/>
        <w:tabs>
          <w:tab w:val="left" w:pos="2520"/>
          <w:tab w:val="left" w:pos="3600"/>
          <w:tab w:val="left" w:pos="4680"/>
        </w:tabs>
        <w:spacing w:before="0" w:after="0" w:line="240" w:lineRule="auto"/>
        <w:jc w:val="both"/>
        <w:rPr>
          <w:sz w:val="18"/>
          <w:szCs w:val="18"/>
        </w:rPr>
      </w:pPr>
    </w:p>
    <w:sectPr w:rsidR="00B2728D" w:rsidSect="004B70C9">
      <w:headerReference w:type="even" r:id="rId18"/>
      <w:headerReference w:type="default" r:id="rId19"/>
      <w:footerReference w:type="even" r:id="rId20"/>
      <w:footerReference w:type="default" r:id="rId21"/>
      <w:headerReference w:type="first" r:id="rId22"/>
      <w:footerReference w:type="first" r:id="rId23"/>
      <w:pgSz w:w="16840" w:h="11900" w:orient="landscape" w:code="9"/>
      <w:pgMar w:top="720" w:right="720" w:bottom="720" w:left="720" w:header="709" w:footer="105"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C28" w:rsidRDefault="00D51C28">
      <w:r>
        <w:separator/>
      </w:r>
    </w:p>
  </w:endnote>
  <w:endnote w:type="continuationSeparator" w:id="0">
    <w:p w:rsidR="00D51C28" w:rsidRDefault="00D5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Std Boo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982A0A" w:rsidP="00B43213">
    <w:pPr>
      <w:pStyle w:val="Pidipagina"/>
      <w:framePr w:wrap="around" w:vAnchor="text" w:hAnchor="margin" w:xAlign="right" w:y="1"/>
      <w:rPr>
        <w:rStyle w:val="Numeropagina"/>
      </w:rPr>
    </w:pPr>
    <w:r>
      <w:rPr>
        <w:rStyle w:val="Numeropagina"/>
      </w:rPr>
      <w:fldChar w:fldCharType="begin"/>
    </w:r>
    <w:r w:rsidR="00550285">
      <w:rPr>
        <w:rStyle w:val="Numeropagina"/>
      </w:rPr>
      <w:instrText xml:space="preserve">PAGE  </w:instrText>
    </w:r>
    <w:r>
      <w:rPr>
        <w:rStyle w:val="Numeropagina"/>
      </w:rPr>
      <w:fldChar w:fldCharType="end"/>
    </w:r>
  </w:p>
  <w:p w:rsidR="00550285" w:rsidRDefault="00550285" w:rsidP="00550285">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Pr="00550285" w:rsidRDefault="00982A0A" w:rsidP="00B43213">
    <w:pPr>
      <w:pStyle w:val="Pidipagina"/>
      <w:framePr w:wrap="around" w:vAnchor="text" w:hAnchor="margin" w:xAlign="right" w:y="1"/>
      <w:rPr>
        <w:rStyle w:val="Numeropagina"/>
        <w:rFonts w:ascii="Arial" w:hAnsi="Arial" w:cs="Arial"/>
        <w:sz w:val="16"/>
        <w:szCs w:val="16"/>
      </w:rPr>
    </w:pPr>
    <w:r w:rsidRPr="00550285">
      <w:rPr>
        <w:rStyle w:val="Numeropagina"/>
        <w:rFonts w:ascii="Arial" w:hAnsi="Arial" w:cs="Arial"/>
        <w:sz w:val="16"/>
        <w:szCs w:val="16"/>
      </w:rPr>
      <w:fldChar w:fldCharType="begin"/>
    </w:r>
    <w:r w:rsidR="00550285" w:rsidRPr="00550285">
      <w:rPr>
        <w:rStyle w:val="Numeropagina"/>
        <w:rFonts w:ascii="Arial" w:hAnsi="Arial" w:cs="Arial"/>
        <w:sz w:val="16"/>
        <w:szCs w:val="16"/>
      </w:rPr>
      <w:instrText xml:space="preserve">PAGE  </w:instrText>
    </w:r>
    <w:r w:rsidRPr="00550285">
      <w:rPr>
        <w:rStyle w:val="Numeropagina"/>
        <w:rFonts w:ascii="Arial" w:hAnsi="Arial" w:cs="Arial"/>
        <w:sz w:val="16"/>
        <w:szCs w:val="16"/>
      </w:rPr>
      <w:fldChar w:fldCharType="separate"/>
    </w:r>
    <w:r w:rsidR="00C47581">
      <w:rPr>
        <w:rStyle w:val="Numeropagina"/>
        <w:rFonts w:ascii="Arial" w:hAnsi="Arial" w:cs="Arial"/>
        <w:noProof/>
        <w:sz w:val="16"/>
        <w:szCs w:val="16"/>
      </w:rPr>
      <w:t>2</w:t>
    </w:r>
    <w:r w:rsidRPr="00550285">
      <w:rPr>
        <w:rStyle w:val="Numeropagina"/>
        <w:rFonts w:ascii="Arial" w:hAnsi="Arial" w:cs="Arial"/>
        <w:sz w:val="16"/>
        <w:szCs w:val="16"/>
      </w:rPr>
      <w:fldChar w:fldCharType="end"/>
    </w:r>
  </w:p>
  <w:p w:rsidR="00094997" w:rsidRDefault="00094997" w:rsidP="00094997">
    <w:pPr>
      <w:pStyle w:val="Pidipagina"/>
      <w:jc w:val="center"/>
      <w:rPr>
        <w:rFonts w:ascii="Arial" w:hAnsi="Arial" w:cs="Arial"/>
        <w:i/>
        <w:sz w:val="16"/>
        <w:szCs w:val="16"/>
      </w:rPr>
    </w:pPr>
  </w:p>
  <w:p w:rsidR="00094997" w:rsidRDefault="00094997" w:rsidP="00094997">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94997" w:rsidRDefault="00094997" w:rsidP="00094997">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94997" w:rsidRDefault="00094997" w:rsidP="00094997">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94997" w:rsidRDefault="00094997" w:rsidP="00094997">
    <w:pPr>
      <w:pStyle w:val="Pidipagina"/>
      <w:jc w:val="center"/>
    </w:pPr>
  </w:p>
  <w:p w:rsidR="00550285" w:rsidRPr="00682F29" w:rsidRDefault="00550285" w:rsidP="00094997">
    <w:pPr>
      <w:pStyle w:val="Pidipagina"/>
      <w:ind w:right="360"/>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859" w:rsidRDefault="00081859" w:rsidP="00081859">
    <w:pPr>
      <w:pStyle w:val="Pidipagina"/>
      <w:jc w:val="center"/>
      <w:rPr>
        <w:rFonts w:ascii="Arial" w:hAnsi="Arial" w:cs="Arial"/>
        <w:i/>
        <w:sz w:val="16"/>
        <w:szCs w:val="16"/>
      </w:rPr>
    </w:pPr>
  </w:p>
  <w:p w:rsidR="00081859" w:rsidRDefault="00081859" w:rsidP="00081859">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81859" w:rsidRDefault="00081859" w:rsidP="00081859">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81859" w:rsidRDefault="00081859" w:rsidP="00081859">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81859" w:rsidRDefault="00081859" w:rsidP="00081859">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C28" w:rsidRDefault="00D51C28">
      <w:r>
        <w:separator/>
      </w:r>
    </w:p>
  </w:footnote>
  <w:footnote w:type="continuationSeparator" w:id="0">
    <w:p w:rsidR="00D51C28" w:rsidRDefault="00D51C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D51C28">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8.55pt;height:84.95pt;z-index:-1;mso-wrap-edited:f;mso-position-horizontal:center;mso-position-horizontal-relative:margin;mso-position-vertical:center;mso-position-vertical-relative:margin" wrapcoords="-276 0 -276 21217 21600 21217 21600 0 -276 0">
          <v:imagedata r:id="rId1" o:title="Stemma x doc"/>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FD6" w:rsidRDefault="00C47581" w:rsidP="005A6FD6">
    <w:pPr>
      <w:pStyle w:val="Intestazione"/>
      <w:rPr>
        <w:rFonts w:ascii="Arial" w:hAnsi="Arial" w:cs="Arial"/>
        <w:i/>
        <w:sz w:val="16"/>
        <w:szCs w:val="16"/>
      </w:rPr>
    </w:pPr>
    <w:r>
      <w:rPr>
        <w:b/>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58.5pt;visibility:visible;mso-position-horizontal-relative:char;mso-position-vertical-relative:line">
          <v:imagedata r:id="rId1" o:title=""/>
        </v:shape>
      </w:pict>
    </w:r>
    <w:r w:rsidR="005A6FD6">
      <w:rPr>
        <w:b/>
        <w:noProof/>
        <w:lang w:eastAsia="it-IT"/>
      </w:rPr>
      <w:t xml:space="preserve">               </w:t>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Pr>
        <w:b/>
        <w:noProof/>
        <w:lang w:eastAsia="it-IT"/>
      </w:rPr>
      <w:pict>
        <v:shape id="_x0000_i1026" type="#_x0000_t75" style="width:99pt;height:55.5pt;visibility:visible;mso-position-horizontal-relative:char;mso-position-vertical-relative:line">
          <v:imagedata r:id="rId2" o:title=""/>
        </v:shape>
      </w:pict>
    </w:r>
  </w:p>
  <w:p w:rsidR="00550285" w:rsidRPr="00012847" w:rsidRDefault="00550285" w:rsidP="00A64807">
    <w:pPr>
      <w:pStyle w:val="Intestazione"/>
      <w:jc w:val="center"/>
      <w:rPr>
        <w:rFonts w:ascii="Futura" w:hAnsi="Futura"/>
      </w:rPr>
    </w:pPr>
  </w:p>
  <w:p w:rsidR="00550285" w:rsidRPr="005667B9" w:rsidRDefault="00550285" w:rsidP="00A64807">
    <w:pPr>
      <w:pStyle w:val="Intestazione"/>
      <w:jc w:val="center"/>
      <w:rPr>
        <w:rFonts w:ascii="Arial" w:hAnsi="Arial" w:cs="Arial"/>
        <w:sz w:val="16"/>
        <w:szCs w:val="16"/>
      </w:rPr>
    </w:pPr>
  </w:p>
  <w:p w:rsidR="00BF2C74" w:rsidRDefault="00BF2C74" w:rsidP="00B2728D">
    <w:pPr>
      <w:pStyle w:val="Intestazione"/>
      <w:jc w:val="center"/>
      <w:rPr>
        <w:rFonts w:ascii="Arial" w:hAnsi="Arial" w:cs="Arial"/>
        <w:sz w:val="14"/>
        <w:szCs w:val="14"/>
      </w:rPr>
    </w:pPr>
  </w:p>
  <w:p w:rsidR="00BF2C74" w:rsidRPr="00423D16" w:rsidRDefault="00BF2C74" w:rsidP="00B2728D">
    <w:pPr>
      <w:pStyle w:val="Intestazione"/>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EC6019" w:rsidRDefault="00EC6019" w:rsidP="005667B9">
    <w:pPr>
      <w:pStyle w:val="Intestazione"/>
      <w:jc w:val="center"/>
      <w:rPr>
        <w:rFonts w:ascii="Arial" w:hAnsi="Arial" w:cs="Arial"/>
        <w:sz w:val="16"/>
        <w:szCs w:val="16"/>
      </w:rPr>
    </w:pPr>
  </w:p>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550285" w:rsidRPr="005667B9" w:rsidRDefault="00550285" w:rsidP="005667B9">
    <w:pPr>
      <w:pStyle w:val="Intestazione"/>
      <w:jc w:val="center"/>
      <w:rPr>
        <w:rFonts w:ascii="Arial" w:hAnsi="Arial" w:cs="Arial"/>
        <w:sz w:val="16"/>
        <w:szCs w:val="16"/>
      </w:rPr>
    </w:pPr>
  </w:p>
  <w:p w:rsidR="00EC6019" w:rsidRDefault="00D51C28" w:rsidP="00EC6019">
    <w:pPr>
      <w:pStyle w:val="Intestazione"/>
      <w:rPr>
        <w:rFonts w:ascii="Arial" w:hAnsi="Arial" w:cs="Arial"/>
        <w:i/>
        <w:sz w:val="16"/>
        <w:szCs w:val="16"/>
      </w:rPr>
    </w:pPr>
    <w:r>
      <w:rPr>
        <w:b/>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7" type="#_x0000_t75" style="width:162.75pt;height:58.5pt;visibility:visible;mso-position-horizontal-relative:char;mso-position-vertical-relative:line">
          <v:imagedata r:id="rId1" o:title=""/>
        </v:shape>
      </w:pict>
    </w:r>
    <w:r w:rsidR="00EC6019">
      <w:rPr>
        <w:b/>
        <w:noProof/>
        <w:lang w:eastAsia="it-IT"/>
      </w:rPr>
      <w:t xml:space="preserve">               </w:t>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C47581">
      <w:rPr>
        <w:b/>
        <w:noProof/>
        <w:lang w:eastAsia="it-IT"/>
      </w:rPr>
      <w:pict>
        <v:shape id="Immagine 3" o:spid="_x0000_i1028" type="#_x0000_t75" style="width:99pt;height:55.5pt;visibility:visible;mso-position-horizontal-relative:char;mso-position-vertical-relative:line">
          <v:imagedata r:id="rId2" o:title=""/>
        </v:shape>
      </w:pict>
    </w:r>
  </w:p>
  <w:p w:rsidR="00550285" w:rsidRPr="005667B9" w:rsidRDefault="00EC6019">
    <w:pPr>
      <w:pStyle w:val="Intestazione"/>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56EC"/>
    <w:multiLevelType w:val="hybridMultilevel"/>
    <w:tmpl w:val="B322BA72"/>
    <w:lvl w:ilvl="0" w:tplc="BC50030E">
      <w:start w:val="1"/>
      <w:numFmt w:val="bullet"/>
      <w:pStyle w:val="Destinatari"/>
      <w:lvlText w:val=""/>
      <w:lvlJc w:val="left"/>
      <w:pPr>
        <w:tabs>
          <w:tab w:val="num" w:pos="330"/>
        </w:tabs>
        <w:ind w:left="330" w:hanging="360"/>
      </w:pPr>
      <w:rPr>
        <w:rFonts w:ascii="Symbol" w:hAnsi="Symbol" w:hint="default"/>
        <w:color w:val="auto"/>
      </w:rPr>
    </w:lvl>
    <w:lvl w:ilvl="1" w:tplc="04100003">
      <w:start w:val="1"/>
      <w:numFmt w:val="bullet"/>
      <w:lvlText w:val="o"/>
      <w:lvlJc w:val="left"/>
      <w:pPr>
        <w:tabs>
          <w:tab w:val="num" w:pos="1050"/>
        </w:tabs>
        <w:ind w:left="1050" w:hanging="360"/>
      </w:pPr>
      <w:rPr>
        <w:rFonts w:ascii="Courier New" w:hAnsi="Courier New" w:hint="default"/>
      </w:rPr>
    </w:lvl>
    <w:lvl w:ilvl="2" w:tplc="04100005">
      <w:start w:val="1"/>
      <w:numFmt w:val="bullet"/>
      <w:lvlText w:val=""/>
      <w:lvlJc w:val="left"/>
      <w:pPr>
        <w:tabs>
          <w:tab w:val="num" w:pos="1770"/>
        </w:tabs>
        <w:ind w:left="1770" w:hanging="360"/>
      </w:pPr>
      <w:rPr>
        <w:rFonts w:ascii="Wingdings" w:hAnsi="Wingdings" w:hint="default"/>
      </w:rPr>
    </w:lvl>
    <w:lvl w:ilvl="3" w:tplc="04100001" w:tentative="1">
      <w:start w:val="1"/>
      <w:numFmt w:val="bullet"/>
      <w:lvlText w:val=""/>
      <w:lvlJc w:val="left"/>
      <w:pPr>
        <w:tabs>
          <w:tab w:val="num" w:pos="2490"/>
        </w:tabs>
        <w:ind w:left="2490" w:hanging="360"/>
      </w:pPr>
      <w:rPr>
        <w:rFonts w:ascii="Symbol" w:hAnsi="Symbol" w:hint="default"/>
      </w:rPr>
    </w:lvl>
    <w:lvl w:ilvl="4" w:tplc="04100003" w:tentative="1">
      <w:start w:val="1"/>
      <w:numFmt w:val="bullet"/>
      <w:lvlText w:val="o"/>
      <w:lvlJc w:val="left"/>
      <w:pPr>
        <w:tabs>
          <w:tab w:val="num" w:pos="3210"/>
        </w:tabs>
        <w:ind w:left="3210" w:hanging="360"/>
      </w:pPr>
      <w:rPr>
        <w:rFonts w:ascii="Courier New" w:hAnsi="Courier New" w:hint="default"/>
      </w:rPr>
    </w:lvl>
    <w:lvl w:ilvl="5" w:tplc="04100005" w:tentative="1">
      <w:start w:val="1"/>
      <w:numFmt w:val="bullet"/>
      <w:lvlText w:val=""/>
      <w:lvlJc w:val="left"/>
      <w:pPr>
        <w:tabs>
          <w:tab w:val="num" w:pos="3930"/>
        </w:tabs>
        <w:ind w:left="3930" w:hanging="360"/>
      </w:pPr>
      <w:rPr>
        <w:rFonts w:ascii="Wingdings" w:hAnsi="Wingdings" w:hint="default"/>
      </w:rPr>
    </w:lvl>
    <w:lvl w:ilvl="6" w:tplc="04100001" w:tentative="1">
      <w:start w:val="1"/>
      <w:numFmt w:val="bullet"/>
      <w:lvlText w:val=""/>
      <w:lvlJc w:val="left"/>
      <w:pPr>
        <w:tabs>
          <w:tab w:val="num" w:pos="4650"/>
        </w:tabs>
        <w:ind w:left="4650" w:hanging="360"/>
      </w:pPr>
      <w:rPr>
        <w:rFonts w:ascii="Symbol" w:hAnsi="Symbol" w:hint="default"/>
      </w:rPr>
    </w:lvl>
    <w:lvl w:ilvl="7" w:tplc="04100003" w:tentative="1">
      <w:start w:val="1"/>
      <w:numFmt w:val="bullet"/>
      <w:lvlText w:val="o"/>
      <w:lvlJc w:val="left"/>
      <w:pPr>
        <w:tabs>
          <w:tab w:val="num" w:pos="5370"/>
        </w:tabs>
        <w:ind w:left="5370" w:hanging="360"/>
      </w:pPr>
      <w:rPr>
        <w:rFonts w:ascii="Courier New" w:hAnsi="Courier New" w:hint="default"/>
      </w:rPr>
    </w:lvl>
    <w:lvl w:ilvl="8" w:tplc="04100005" w:tentative="1">
      <w:start w:val="1"/>
      <w:numFmt w:val="bullet"/>
      <w:lvlText w:val=""/>
      <w:lvlJc w:val="left"/>
      <w:pPr>
        <w:tabs>
          <w:tab w:val="num" w:pos="6090"/>
        </w:tabs>
        <w:ind w:left="6090" w:hanging="360"/>
      </w:pPr>
      <w:rPr>
        <w:rFonts w:ascii="Wingdings" w:hAnsi="Wingdings" w:hint="default"/>
      </w:rPr>
    </w:lvl>
  </w:abstractNum>
  <w:abstractNum w:abstractNumId="1" w15:restartNumberingAfterBreak="0">
    <w:nsid w:val="21324374"/>
    <w:multiLevelType w:val="hybridMultilevel"/>
    <w:tmpl w:val="029C9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5A05013"/>
    <w:multiLevelType w:val="hybridMultilevel"/>
    <w:tmpl w:val="2930680A"/>
    <w:lvl w:ilvl="0" w:tplc="2104F074">
      <w:numFmt w:val="bullet"/>
      <w:lvlText w:val=""/>
      <w:lvlJc w:val="left"/>
      <w:pPr>
        <w:ind w:left="4613" w:hanging="360"/>
      </w:pPr>
      <w:rPr>
        <w:rFonts w:ascii="Wingdings" w:eastAsia="Times New Roman" w:hAnsi="Wingdings" w:cs="Arial" w:hint="default"/>
      </w:rPr>
    </w:lvl>
    <w:lvl w:ilvl="1" w:tplc="04100003" w:tentative="1">
      <w:start w:val="1"/>
      <w:numFmt w:val="bullet"/>
      <w:lvlText w:val="o"/>
      <w:lvlJc w:val="left"/>
      <w:pPr>
        <w:ind w:left="5333" w:hanging="360"/>
      </w:pPr>
      <w:rPr>
        <w:rFonts w:ascii="Courier New" w:hAnsi="Courier New" w:cs="Courier New" w:hint="default"/>
      </w:rPr>
    </w:lvl>
    <w:lvl w:ilvl="2" w:tplc="04100005" w:tentative="1">
      <w:start w:val="1"/>
      <w:numFmt w:val="bullet"/>
      <w:lvlText w:val=""/>
      <w:lvlJc w:val="left"/>
      <w:pPr>
        <w:ind w:left="6053" w:hanging="360"/>
      </w:pPr>
      <w:rPr>
        <w:rFonts w:ascii="Wingdings" w:hAnsi="Wingdings" w:hint="default"/>
      </w:rPr>
    </w:lvl>
    <w:lvl w:ilvl="3" w:tplc="04100001" w:tentative="1">
      <w:start w:val="1"/>
      <w:numFmt w:val="bullet"/>
      <w:lvlText w:val=""/>
      <w:lvlJc w:val="left"/>
      <w:pPr>
        <w:ind w:left="6773" w:hanging="360"/>
      </w:pPr>
      <w:rPr>
        <w:rFonts w:ascii="Symbol" w:hAnsi="Symbol" w:hint="default"/>
      </w:rPr>
    </w:lvl>
    <w:lvl w:ilvl="4" w:tplc="04100003" w:tentative="1">
      <w:start w:val="1"/>
      <w:numFmt w:val="bullet"/>
      <w:lvlText w:val="o"/>
      <w:lvlJc w:val="left"/>
      <w:pPr>
        <w:ind w:left="7493" w:hanging="360"/>
      </w:pPr>
      <w:rPr>
        <w:rFonts w:ascii="Courier New" w:hAnsi="Courier New" w:cs="Courier New" w:hint="default"/>
      </w:rPr>
    </w:lvl>
    <w:lvl w:ilvl="5" w:tplc="04100005" w:tentative="1">
      <w:start w:val="1"/>
      <w:numFmt w:val="bullet"/>
      <w:lvlText w:val=""/>
      <w:lvlJc w:val="left"/>
      <w:pPr>
        <w:ind w:left="8213" w:hanging="360"/>
      </w:pPr>
      <w:rPr>
        <w:rFonts w:ascii="Wingdings" w:hAnsi="Wingdings" w:hint="default"/>
      </w:rPr>
    </w:lvl>
    <w:lvl w:ilvl="6" w:tplc="04100001" w:tentative="1">
      <w:start w:val="1"/>
      <w:numFmt w:val="bullet"/>
      <w:lvlText w:val=""/>
      <w:lvlJc w:val="left"/>
      <w:pPr>
        <w:ind w:left="8933" w:hanging="360"/>
      </w:pPr>
      <w:rPr>
        <w:rFonts w:ascii="Symbol" w:hAnsi="Symbol" w:hint="default"/>
      </w:rPr>
    </w:lvl>
    <w:lvl w:ilvl="7" w:tplc="04100003" w:tentative="1">
      <w:start w:val="1"/>
      <w:numFmt w:val="bullet"/>
      <w:lvlText w:val="o"/>
      <w:lvlJc w:val="left"/>
      <w:pPr>
        <w:ind w:left="9653" w:hanging="360"/>
      </w:pPr>
      <w:rPr>
        <w:rFonts w:ascii="Courier New" w:hAnsi="Courier New" w:cs="Courier New" w:hint="default"/>
      </w:rPr>
    </w:lvl>
    <w:lvl w:ilvl="8" w:tplc="04100005" w:tentative="1">
      <w:start w:val="1"/>
      <w:numFmt w:val="bullet"/>
      <w:lvlText w:val=""/>
      <w:lvlJc w:val="left"/>
      <w:pPr>
        <w:ind w:left="10373" w:hanging="360"/>
      </w:pPr>
      <w:rPr>
        <w:rFonts w:ascii="Wingdings" w:hAnsi="Wingdings" w:hint="default"/>
      </w:rPr>
    </w:lvl>
  </w:abstractNum>
  <w:abstractNum w:abstractNumId="3" w15:restartNumberingAfterBreak="0">
    <w:nsid w:val="77AC5756"/>
    <w:multiLevelType w:val="hybridMultilevel"/>
    <w:tmpl w:val="563CC806"/>
    <w:lvl w:ilvl="0" w:tplc="68A28EF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DDD54E6"/>
    <w:multiLevelType w:val="hybridMultilevel"/>
    <w:tmpl w:val="25B62D66"/>
    <w:lvl w:ilvl="0" w:tplc="2FEAAA4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rawingGridHorizontalSpacing w:val="12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847"/>
    <w:rsid w:val="000071EE"/>
    <w:rsid w:val="00012847"/>
    <w:rsid w:val="0007489E"/>
    <w:rsid w:val="00081859"/>
    <w:rsid w:val="00090E78"/>
    <w:rsid w:val="00091D60"/>
    <w:rsid w:val="00094997"/>
    <w:rsid w:val="000C1A9C"/>
    <w:rsid w:val="000F4C23"/>
    <w:rsid w:val="00101AE1"/>
    <w:rsid w:val="00115C25"/>
    <w:rsid w:val="00125354"/>
    <w:rsid w:val="00151961"/>
    <w:rsid w:val="0017103C"/>
    <w:rsid w:val="001A3B29"/>
    <w:rsid w:val="001A5FCF"/>
    <w:rsid w:val="001C78D9"/>
    <w:rsid w:val="001D7A39"/>
    <w:rsid w:val="001F7947"/>
    <w:rsid w:val="002214C2"/>
    <w:rsid w:val="00263737"/>
    <w:rsid w:val="00263D59"/>
    <w:rsid w:val="0026469A"/>
    <w:rsid w:val="002747E0"/>
    <w:rsid w:val="002754F5"/>
    <w:rsid w:val="00275B5C"/>
    <w:rsid w:val="002767AA"/>
    <w:rsid w:val="002874E5"/>
    <w:rsid w:val="002A0C67"/>
    <w:rsid w:val="002A21EE"/>
    <w:rsid w:val="002A79CE"/>
    <w:rsid w:val="002A79D5"/>
    <w:rsid w:val="002D0540"/>
    <w:rsid w:val="002D134A"/>
    <w:rsid w:val="002F2640"/>
    <w:rsid w:val="00307301"/>
    <w:rsid w:val="00311864"/>
    <w:rsid w:val="003157B0"/>
    <w:rsid w:val="003365B1"/>
    <w:rsid w:val="00357581"/>
    <w:rsid w:val="00363DDF"/>
    <w:rsid w:val="0036692C"/>
    <w:rsid w:val="0038552E"/>
    <w:rsid w:val="003A4211"/>
    <w:rsid w:val="003B0991"/>
    <w:rsid w:val="003B691E"/>
    <w:rsid w:val="004166B5"/>
    <w:rsid w:val="0042391E"/>
    <w:rsid w:val="00423D16"/>
    <w:rsid w:val="0042587B"/>
    <w:rsid w:val="004339C2"/>
    <w:rsid w:val="004530F5"/>
    <w:rsid w:val="00461BA0"/>
    <w:rsid w:val="00476067"/>
    <w:rsid w:val="004B70C9"/>
    <w:rsid w:val="004E0652"/>
    <w:rsid w:val="00550285"/>
    <w:rsid w:val="005524F9"/>
    <w:rsid w:val="00562C06"/>
    <w:rsid w:val="005667B9"/>
    <w:rsid w:val="005A30AF"/>
    <w:rsid w:val="005A6FD6"/>
    <w:rsid w:val="005B5569"/>
    <w:rsid w:val="005C29D6"/>
    <w:rsid w:val="005D3B93"/>
    <w:rsid w:val="005F38DE"/>
    <w:rsid w:val="00641EB4"/>
    <w:rsid w:val="006519F6"/>
    <w:rsid w:val="006545E1"/>
    <w:rsid w:val="00661992"/>
    <w:rsid w:val="00682F29"/>
    <w:rsid w:val="0068401E"/>
    <w:rsid w:val="00685BA1"/>
    <w:rsid w:val="0068748C"/>
    <w:rsid w:val="0069340E"/>
    <w:rsid w:val="006A5107"/>
    <w:rsid w:val="006B1498"/>
    <w:rsid w:val="006B6657"/>
    <w:rsid w:val="006E3D71"/>
    <w:rsid w:val="007152EE"/>
    <w:rsid w:val="00746764"/>
    <w:rsid w:val="00774370"/>
    <w:rsid w:val="007749AD"/>
    <w:rsid w:val="00785DE8"/>
    <w:rsid w:val="007A0F7B"/>
    <w:rsid w:val="007B461B"/>
    <w:rsid w:val="007B67E7"/>
    <w:rsid w:val="007D4676"/>
    <w:rsid w:val="007F1DEC"/>
    <w:rsid w:val="007F2164"/>
    <w:rsid w:val="007F34BC"/>
    <w:rsid w:val="0080685A"/>
    <w:rsid w:val="008218A4"/>
    <w:rsid w:val="00872EEB"/>
    <w:rsid w:val="008C2E4A"/>
    <w:rsid w:val="008F42B8"/>
    <w:rsid w:val="009201B2"/>
    <w:rsid w:val="009401B4"/>
    <w:rsid w:val="00945582"/>
    <w:rsid w:val="0097608F"/>
    <w:rsid w:val="00982A0A"/>
    <w:rsid w:val="00986972"/>
    <w:rsid w:val="009A4DC6"/>
    <w:rsid w:val="009C4083"/>
    <w:rsid w:val="009C5D43"/>
    <w:rsid w:val="009D01E8"/>
    <w:rsid w:val="009E1EB3"/>
    <w:rsid w:val="00A23311"/>
    <w:rsid w:val="00A25BD3"/>
    <w:rsid w:val="00A41E71"/>
    <w:rsid w:val="00A63F05"/>
    <w:rsid w:val="00A64807"/>
    <w:rsid w:val="00A67A9C"/>
    <w:rsid w:val="00A70553"/>
    <w:rsid w:val="00A817C1"/>
    <w:rsid w:val="00A83E99"/>
    <w:rsid w:val="00A84CC1"/>
    <w:rsid w:val="00A97609"/>
    <w:rsid w:val="00B07611"/>
    <w:rsid w:val="00B2728D"/>
    <w:rsid w:val="00B30E81"/>
    <w:rsid w:val="00B43213"/>
    <w:rsid w:val="00B4486E"/>
    <w:rsid w:val="00B565F3"/>
    <w:rsid w:val="00B668D3"/>
    <w:rsid w:val="00B72E18"/>
    <w:rsid w:val="00B8246A"/>
    <w:rsid w:val="00BA475D"/>
    <w:rsid w:val="00BA7DDF"/>
    <w:rsid w:val="00BC7EA0"/>
    <w:rsid w:val="00BE4301"/>
    <w:rsid w:val="00BF2C74"/>
    <w:rsid w:val="00C23FB6"/>
    <w:rsid w:val="00C32553"/>
    <w:rsid w:val="00C362B9"/>
    <w:rsid w:val="00C463B0"/>
    <w:rsid w:val="00C47581"/>
    <w:rsid w:val="00C62694"/>
    <w:rsid w:val="00C742E3"/>
    <w:rsid w:val="00C74C2B"/>
    <w:rsid w:val="00C757B9"/>
    <w:rsid w:val="00C95CCE"/>
    <w:rsid w:val="00CA53F8"/>
    <w:rsid w:val="00D0195D"/>
    <w:rsid w:val="00D02EF3"/>
    <w:rsid w:val="00D3315D"/>
    <w:rsid w:val="00D51C28"/>
    <w:rsid w:val="00D61D96"/>
    <w:rsid w:val="00D765F3"/>
    <w:rsid w:val="00D8526B"/>
    <w:rsid w:val="00D96282"/>
    <w:rsid w:val="00DB2CFF"/>
    <w:rsid w:val="00DC791A"/>
    <w:rsid w:val="00DD3709"/>
    <w:rsid w:val="00E02A3C"/>
    <w:rsid w:val="00E04D45"/>
    <w:rsid w:val="00E123DC"/>
    <w:rsid w:val="00E167AF"/>
    <w:rsid w:val="00E40B88"/>
    <w:rsid w:val="00E432CF"/>
    <w:rsid w:val="00E61E2A"/>
    <w:rsid w:val="00E846AD"/>
    <w:rsid w:val="00E90896"/>
    <w:rsid w:val="00E9517F"/>
    <w:rsid w:val="00EB6ABB"/>
    <w:rsid w:val="00EC6019"/>
    <w:rsid w:val="00EF6D28"/>
    <w:rsid w:val="00F07095"/>
    <w:rsid w:val="00F2352F"/>
    <w:rsid w:val="00F82DA7"/>
    <w:rsid w:val="00F937E2"/>
    <w:rsid w:val="00F97F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66578BE"/>
  <w15:docId w15:val="{DFE4D894-DB19-415E-AA5A-4D3E3AE9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1647"/>
    <w:pPr>
      <w:spacing w:after="200"/>
    </w:pPr>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012847"/>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012847"/>
  </w:style>
  <w:style w:type="paragraph" w:styleId="Pidipagina">
    <w:name w:val="footer"/>
    <w:basedOn w:val="Normale"/>
    <w:link w:val="PidipaginaCarattere"/>
    <w:unhideWhenUsed/>
    <w:rsid w:val="0001284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12847"/>
  </w:style>
  <w:style w:type="paragraph" w:customStyle="1" w:styleId="titolodeliberaz">
    <w:name w:val="titolo deliberaz"/>
    <w:basedOn w:val="Normale"/>
    <w:next w:val="Normale"/>
    <w:rsid w:val="002754F5"/>
    <w:pPr>
      <w:spacing w:before="480" w:after="480" w:line="360" w:lineRule="exact"/>
      <w:jc w:val="center"/>
    </w:pPr>
    <w:rPr>
      <w:rFonts w:ascii="Futura Std Book" w:eastAsia="Times New Roman" w:hAnsi="Futura Std Book"/>
      <w:b/>
      <w:sz w:val="18"/>
      <w:szCs w:val="20"/>
      <w:lang w:eastAsia="it-IT"/>
    </w:rPr>
  </w:style>
  <w:style w:type="character" w:styleId="Numeropagina">
    <w:name w:val="page number"/>
    <w:basedOn w:val="Carpredefinitoparagrafo"/>
    <w:rsid w:val="00550285"/>
  </w:style>
  <w:style w:type="paragraph" w:customStyle="1" w:styleId="Normalelt">
    <w:name w:val="Normale lt"/>
    <w:basedOn w:val="Normale"/>
    <w:rsid w:val="003157B0"/>
    <w:pPr>
      <w:spacing w:before="120" w:after="120" w:line="360" w:lineRule="exact"/>
    </w:pPr>
    <w:rPr>
      <w:rFonts w:ascii="Arial" w:eastAsia="Times New Roman" w:hAnsi="Arial" w:cs="Arial"/>
      <w:sz w:val="20"/>
      <w:lang w:eastAsia="it-IT"/>
    </w:rPr>
  </w:style>
  <w:style w:type="paragraph" w:customStyle="1" w:styleId="Oggetto">
    <w:name w:val="Oggetto"/>
    <w:basedOn w:val="Normale"/>
    <w:next w:val="Normalelt"/>
    <w:rsid w:val="003157B0"/>
    <w:pPr>
      <w:spacing w:before="480" w:after="480" w:line="320" w:lineRule="exact"/>
      <w:ind w:left="1134" w:hanging="1134"/>
    </w:pPr>
    <w:rPr>
      <w:rFonts w:ascii="Futura Std Book" w:eastAsia="Times New Roman" w:hAnsi="Futura Std Book" w:cs="Arial"/>
      <w:b/>
      <w:bCs/>
      <w:sz w:val="18"/>
      <w:szCs w:val="20"/>
      <w:lang w:eastAsia="it-IT"/>
    </w:rPr>
  </w:style>
  <w:style w:type="paragraph" w:customStyle="1" w:styleId="Destinatari">
    <w:name w:val="Destinatari"/>
    <w:basedOn w:val="Normalelt"/>
    <w:rsid w:val="003157B0"/>
    <w:pPr>
      <w:numPr>
        <w:numId w:val="1"/>
      </w:numPr>
      <w:tabs>
        <w:tab w:val="clear" w:pos="330"/>
        <w:tab w:val="left" w:pos="4406"/>
      </w:tabs>
      <w:spacing w:before="240" w:after="0" w:line="280" w:lineRule="exact"/>
      <w:ind w:left="4405" w:hanging="323"/>
    </w:pPr>
  </w:style>
  <w:style w:type="paragraph" w:customStyle="1" w:styleId="Protocollo">
    <w:name w:val="Protocollo"/>
    <w:basedOn w:val="Normale"/>
    <w:next w:val="Destinatari"/>
    <w:rsid w:val="003157B0"/>
    <w:pPr>
      <w:spacing w:before="600" w:after="480" w:line="360" w:lineRule="auto"/>
      <w:ind w:left="1134" w:hanging="1134"/>
    </w:pPr>
    <w:rPr>
      <w:rFonts w:ascii="Futura Std Book" w:eastAsia="Times New Roman" w:hAnsi="Futura Std Book" w:cs="Arial"/>
      <w:b/>
      <w:bCs/>
      <w:sz w:val="18"/>
      <w:szCs w:val="20"/>
      <w:lang w:eastAsia="it-IT"/>
    </w:rPr>
  </w:style>
  <w:style w:type="paragraph" w:styleId="Data">
    <w:name w:val="Date"/>
    <w:basedOn w:val="Normale"/>
    <w:next w:val="Destinatari"/>
    <w:link w:val="DataCarattere"/>
    <w:rsid w:val="003157B0"/>
    <w:pPr>
      <w:spacing w:before="600" w:after="480" w:line="360" w:lineRule="auto"/>
      <w:ind w:left="510"/>
    </w:pPr>
    <w:rPr>
      <w:rFonts w:ascii="Arial" w:eastAsia="Times New Roman" w:hAnsi="Arial"/>
      <w:sz w:val="20"/>
    </w:rPr>
  </w:style>
  <w:style w:type="character" w:customStyle="1" w:styleId="DataCarattere">
    <w:name w:val="Data Carattere"/>
    <w:link w:val="Data"/>
    <w:rsid w:val="003157B0"/>
    <w:rPr>
      <w:rFonts w:ascii="Arial" w:eastAsia="Times New Roman" w:hAnsi="Arial"/>
      <w:szCs w:val="24"/>
    </w:rPr>
  </w:style>
  <w:style w:type="paragraph" w:customStyle="1" w:styleId="Posizionearchivio">
    <w:name w:val="Posizione archivio"/>
    <w:basedOn w:val="Protocollo"/>
    <w:rsid w:val="003157B0"/>
    <w:pPr>
      <w:ind w:left="0" w:firstLine="0"/>
    </w:pPr>
    <w:rPr>
      <w:b w:val="0"/>
      <w:bCs w:val="0"/>
    </w:rPr>
  </w:style>
  <w:style w:type="character" w:styleId="Collegamentoipertestuale">
    <w:name w:val="Hyperlink"/>
    <w:uiPriority w:val="99"/>
    <w:unhideWhenUsed/>
    <w:rsid w:val="00BA7DDF"/>
    <w:rPr>
      <w:color w:val="0000FF"/>
      <w:u w:val="single"/>
    </w:rPr>
  </w:style>
  <w:style w:type="paragraph" w:customStyle="1" w:styleId="DGServp1">
    <w:name w:val="DG_Serv p1"/>
    <w:basedOn w:val="Normale"/>
    <w:rsid w:val="007152EE"/>
    <w:pPr>
      <w:suppressAutoHyphens/>
      <w:spacing w:after="60" w:line="200" w:lineRule="exact"/>
    </w:pPr>
    <w:rPr>
      <w:rFonts w:ascii="Futura Std Book" w:eastAsia="Times New Roman" w:hAnsi="Futura Std Book"/>
      <w:sz w:val="20"/>
      <w:lang w:eastAsia="ar-SA"/>
    </w:rPr>
  </w:style>
  <w:style w:type="table" w:styleId="Grigliatabella">
    <w:name w:val="Table Grid"/>
    <w:basedOn w:val="Tabellanormale"/>
    <w:uiPriority w:val="59"/>
    <w:rsid w:val="009A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6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4899">
      <w:bodyDiv w:val="1"/>
      <w:marLeft w:val="0"/>
      <w:marRight w:val="0"/>
      <w:marTop w:val="0"/>
      <w:marBottom w:val="0"/>
      <w:divBdr>
        <w:top w:val="none" w:sz="0" w:space="0" w:color="auto"/>
        <w:left w:val="none" w:sz="0" w:space="0" w:color="auto"/>
        <w:bottom w:val="none" w:sz="0" w:space="0" w:color="auto"/>
        <w:right w:val="none" w:sz="0" w:space="0" w:color="auto"/>
      </w:divBdr>
    </w:div>
    <w:div w:id="140973436">
      <w:bodyDiv w:val="1"/>
      <w:marLeft w:val="0"/>
      <w:marRight w:val="0"/>
      <w:marTop w:val="0"/>
      <w:marBottom w:val="0"/>
      <w:divBdr>
        <w:top w:val="none" w:sz="0" w:space="0" w:color="auto"/>
        <w:left w:val="none" w:sz="0" w:space="0" w:color="auto"/>
        <w:bottom w:val="none" w:sz="0" w:space="0" w:color="auto"/>
        <w:right w:val="none" w:sz="0" w:space="0" w:color="auto"/>
      </w:divBdr>
    </w:div>
    <w:div w:id="414205731">
      <w:bodyDiv w:val="1"/>
      <w:marLeft w:val="0"/>
      <w:marRight w:val="0"/>
      <w:marTop w:val="0"/>
      <w:marBottom w:val="0"/>
      <w:divBdr>
        <w:top w:val="none" w:sz="0" w:space="0" w:color="auto"/>
        <w:left w:val="none" w:sz="0" w:space="0" w:color="auto"/>
        <w:bottom w:val="none" w:sz="0" w:space="0" w:color="auto"/>
        <w:right w:val="none" w:sz="0" w:space="0" w:color="auto"/>
      </w:divBdr>
    </w:div>
    <w:div w:id="582883998">
      <w:bodyDiv w:val="1"/>
      <w:marLeft w:val="0"/>
      <w:marRight w:val="0"/>
      <w:marTop w:val="0"/>
      <w:marBottom w:val="0"/>
      <w:divBdr>
        <w:top w:val="none" w:sz="0" w:space="0" w:color="auto"/>
        <w:left w:val="none" w:sz="0" w:space="0" w:color="auto"/>
        <w:bottom w:val="none" w:sz="0" w:space="0" w:color="auto"/>
        <w:right w:val="none" w:sz="0" w:space="0" w:color="auto"/>
      </w:divBdr>
      <w:divsChild>
        <w:div w:id="1849757064">
          <w:marLeft w:val="0"/>
          <w:marRight w:val="0"/>
          <w:marTop w:val="0"/>
          <w:marBottom w:val="0"/>
          <w:divBdr>
            <w:top w:val="none" w:sz="0" w:space="0" w:color="auto"/>
            <w:left w:val="none" w:sz="0" w:space="0" w:color="auto"/>
            <w:bottom w:val="none" w:sz="0" w:space="0" w:color="auto"/>
            <w:right w:val="none" w:sz="0" w:space="0" w:color="auto"/>
          </w:divBdr>
          <w:divsChild>
            <w:div w:id="827941434">
              <w:marLeft w:val="0"/>
              <w:marRight w:val="0"/>
              <w:marTop w:val="0"/>
              <w:marBottom w:val="0"/>
              <w:divBdr>
                <w:top w:val="none" w:sz="0" w:space="0" w:color="auto"/>
                <w:left w:val="none" w:sz="0" w:space="0" w:color="auto"/>
                <w:bottom w:val="none" w:sz="0" w:space="0" w:color="auto"/>
                <w:right w:val="none" w:sz="0" w:space="0" w:color="auto"/>
              </w:divBdr>
              <w:divsChild>
                <w:div w:id="1993826248">
                  <w:marLeft w:val="0"/>
                  <w:marRight w:val="0"/>
                  <w:marTop w:val="0"/>
                  <w:marBottom w:val="0"/>
                  <w:divBdr>
                    <w:top w:val="none" w:sz="0" w:space="0" w:color="auto"/>
                    <w:left w:val="none" w:sz="0" w:space="0" w:color="auto"/>
                    <w:bottom w:val="none" w:sz="0" w:space="0" w:color="auto"/>
                    <w:right w:val="none" w:sz="0" w:space="0" w:color="auto"/>
                  </w:divBdr>
                  <w:divsChild>
                    <w:div w:id="1018199212">
                      <w:marLeft w:val="0"/>
                      <w:marRight w:val="0"/>
                      <w:marTop w:val="0"/>
                      <w:marBottom w:val="0"/>
                      <w:divBdr>
                        <w:top w:val="none" w:sz="0" w:space="0" w:color="auto"/>
                        <w:left w:val="none" w:sz="0" w:space="0" w:color="auto"/>
                        <w:bottom w:val="none" w:sz="0" w:space="0" w:color="auto"/>
                        <w:right w:val="none" w:sz="0" w:space="0" w:color="auto"/>
                      </w:divBdr>
                      <w:divsChild>
                        <w:div w:id="1920603339">
                          <w:marLeft w:val="375"/>
                          <w:marRight w:val="0"/>
                          <w:marTop w:val="0"/>
                          <w:marBottom w:val="0"/>
                          <w:divBdr>
                            <w:top w:val="none" w:sz="0" w:space="0" w:color="auto"/>
                            <w:left w:val="none" w:sz="0" w:space="0" w:color="auto"/>
                            <w:bottom w:val="none" w:sz="0" w:space="0" w:color="auto"/>
                            <w:right w:val="none" w:sz="0" w:space="0" w:color="auto"/>
                          </w:divBdr>
                          <w:divsChild>
                            <w:div w:id="698624423">
                              <w:marLeft w:val="0"/>
                              <w:marRight w:val="0"/>
                              <w:marTop w:val="0"/>
                              <w:marBottom w:val="300"/>
                              <w:divBdr>
                                <w:top w:val="none" w:sz="0" w:space="0" w:color="auto"/>
                                <w:left w:val="single" w:sz="6" w:space="0" w:color="EDEDED"/>
                                <w:bottom w:val="single" w:sz="6" w:space="26" w:color="EDEDED"/>
                                <w:right w:val="single" w:sz="6" w:space="0" w:color="EDEDED"/>
                              </w:divBdr>
                              <w:divsChild>
                                <w:div w:id="14728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759770">
      <w:bodyDiv w:val="1"/>
      <w:marLeft w:val="0"/>
      <w:marRight w:val="0"/>
      <w:marTop w:val="0"/>
      <w:marBottom w:val="0"/>
      <w:divBdr>
        <w:top w:val="none" w:sz="0" w:space="0" w:color="auto"/>
        <w:left w:val="none" w:sz="0" w:space="0" w:color="auto"/>
        <w:bottom w:val="none" w:sz="0" w:space="0" w:color="auto"/>
        <w:right w:val="none" w:sz="0" w:space="0" w:color="auto"/>
      </w:divBdr>
    </w:div>
    <w:div w:id="716008843">
      <w:bodyDiv w:val="1"/>
      <w:marLeft w:val="0"/>
      <w:marRight w:val="0"/>
      <w:marTop w:val="0"/>
      <w:marBottom w:val="0"/>
      <w:divBdr>
        <w:top w:val="none" w:sz="0" w:space="0" w:color="auto"/>
        <w:left w:val="none" w:sz="0" w:space="0" w:color="auto"/>
        <w:bottom w:val="none" w:sz="0" w:space="0" w:color="auto"/>
        <w:right w:val="none" w:sz="0" w:space="0" w:color="auto"/>
      </w:divBdr>
    </w:div>
    <w:div w:id="1061513747">
      <w:bodyDiv w:val="1"/>
      <w:marLeft w:val="0"/>
      <w:marRight w:val="0"/>
      <w:marTop w:val="0"/>
      <w:marBottom w:val="0"/>
      <w:divBdr>
        <w:top w:val="none" w:sz="0" w:space="0" w:color="auto"/>
        <w:left w:val="none" w:sz="0" w:space="0" w:color="auto"/>
        <w:bottom w:val="none" w:sz="0" w:space="0" w:color="auto"/>
        <w:right w:val="none" w:sz="0" w:space="0" w:color="auto"/>
      </w:divBdr>
    </w:div>
    <w:div w:id="1074626340">
      <w:bodyDiv w:val="1"/>
      <w:marLeft w:val="0"/>
      <w:marRight w:val="0"/>
      <w:marTop w:val="0"/>
      <w:marBottom w:val="0"/>
      <w:divBdr>
        <w:top w:val="none" w:sz="0" w:space="0" w:color="auto"/>
        <w:left w:val="none" w:sz="0" w:space="0" w:color="auto"/>
        <w:bottom w:val="none" w:sz="0" w:space="0" w:color="auto"/>
        <w:right w:val="none" w:sz="0" w:space="0" w:color="auto"/>
      </w:divBdr>
      <w:divsChild>
        <w:div w:id="589773469">
          <w:marLeft w:val="0"/>
          <w:marRight w:val="0"/>
          <w:marTop w:val="0"/>
          <w:marBottom w:val="0"/>
          <w:divBdr>
            <w:top w:val="none" w:sz="0" w:space="0" w:color="auto"/>
            <w:left w:val="none" w:sz="0" w:space="0" w:color="auto"/>
            <w:bottom w:val="none" w:sz="0" w:space="0" w:color="auto"/>
            <w:right w:val="none" w:sz="0" w:space="0" w:color="auto"/>
          </w:divBdr>
          <w:divsChild>
            <w:div w:id="1460732399">
              <w:marLeft w:val="0"/>
              <w:marRight w:val="0"/>
              <w:marTop w:val="0"/>
              <w:marBottom w:val="0"/>
              <w:divBdr>
                <w:top w:val="none" w:sz="0" w:space="0" w:color="auto"/>
                <w:left w:val="none" w:sz="0" w:space="0" w:color="auto"/>
                <w:bottom w:val="none" w:sz="0" w:space="0" w:color="auto"/>
                <w:right w:val="none" w:sz="0" w:space="0" w:color="auto"/>
              </w:divBdr>
              <w:divsChild>
                <w:div w:id="1652369990">
                  <w:marLeft w:val="0"/>
                  <w:marRight w:val="0"/>
                  <w:marTop w:val="0"/>
                  <w:marBottom w:val="0"/>
                  <w:divBdr>
                    <w:top w:val="none" w:sz="0" w:space="0" w:color="auto"/>
                    <w:left w:val="none" w:sz="0" w:space="0" w:color="auto"/>
                    <w:bottom w:val="none" w:sz="0" w:space="0" w:color="auto"/>
                    <w:right w:val="none" w:sz="0" w:space="0" w:color="auto"/>
                  </w:divBdr>
                  <w:divsChild>
                    <w:div w:id="1989745598">
                      <w:marLeft w:val="0"/>
                      <w:marRight w:val="0"/>
                      <w:marTop w:val="0"/>
                      <w:marBottom w:val="0"/>
                      <w:divBdr>
                        <w:top w:val="none" w:sz="0" w:space="0" w:color="auto"/>
                        <w:left w:val="none" w:sz="0" w:space="0" w:color="auto"/>
                        <w:bottom w:val="none" w:sz="0" w:space="0" w:color="auto"/>
                        <w:right w:val="none" w:sz="0" w:space="0" w:color="auto"/>
                      </w:divBdr>
                      <w:divsChild>
                        <w:div w:id="1685133096">
                          <w:marLeft w:val="375"/>
                          <w:marRight w:val="0"/>
                          <w:marTop w:val="0"/>
                          <w:marBottom w:val="0"/>
                          <w:divBdr>
                            <w:top w:val="none" w:sz="0" w:space="0" w:color="auto"/>
                            <w:left w:val="none" w:sz="0" w:space="0" w:color="auto"/>
                            <w:bottom w:val="none" w:sz="0" w:space="0" w:color="auto"/>
                            <w:right w:val="none" w:sz="0" w:space="0" w:color="auto"/>
                          </w:divBdr>
                          <w:divsChild>
                            <w:div w:id="1044863709">
                              <w:marLeft w:val="0"/>
                              <w:marRight w:val="0"/>
                              <w:marTop w:val="0"/>
                              <w:marBottom w:val="300"/>
                              <w:divBdr>
                                <w:top w:val="none" w:sz="0" w:space="0" w:color="auto"/>
                                <w:left w:val="single" w:sz="6" w:space="0" w:color="EDEDED"/>
                                <w:bottom w:val="single" w:sz="6" w:space="26" w:color="EDEDED"/>
                                <w:right w:val="single" w:sz="6" w:space="0" w:color="EDEDED"/>
                              </w:divBdr>
                              <w:divsChild>
                                <w:div w:id="1261449257">
                                  <w:marLeft w:val="0"/>
                                  <w:marRight w:val="0"/>
                                  <w:marTop w:val="0"/>
                                  <w:marBottom w:val="0"/>
                                  <w:divBdr>
                                    <w:top w:val="none" w:sz="0" w:space="0" w:color="auto"/>
                                    <w:left w:val="none" w:sz="0" w:space="0" w:color="auto"/>
                                    <w:bottom w:val="none" w:sz="0" w:space="0" w:color="auto"/>
                                    <w:right w:val="none" w:sz="0" w:space="0" w:color="auto"/>
                                  </w:divBdr>
                                  <w:divsChild>
                                    <w:div w:id="840658146">
                                      <w:marLeft w:val="0"/>
                                      <w:marRight w:val="0"/>
                                      <w:marTop w:val="0"/>
                                      <w:marBottom w:val="240"/>
                                      <w:divBdr>
                                        <w:top w:val="none" w:sz="0" w:space="0" w:color="auto"/>
                                        <w:left w:val="none" w:sz="0" w:space="0" w:color="auto"/>
                                        <w:bottom w:val="none" w:sz="0" w:space="0" w:color="auto"/>
                                        <w:right w:val="none" w:sz="0" w:space="0" w:color="auto"/>
                                      </w:divBdr>
                                      <w:divsChild>
                                        <w:div w:id="407655976">
                                          <w:marLeft w:val="0"/>
                                          <w:marRight w:val="0"/>
                                          <w:marTop w:val="0"/>
                                          <w:marBottom w:val="0"/>
                                          <w:divBdr>
                                            <w:top w:val="none" w:sz="0" w:space="0" w:color="auto"/>
                                            <w:left w:val="none" w:sz="0" w:space="0" w:color="auto"/>
                                            <w:bottom w:val="none" w:sz="0" w:space="0" w:color="auto"/>
                                            <w:right w:val="none" w:sz="0" w:space="0" w:color="auto"/>
                                          </w:divBdr>
                                        </w:div>
                                        <w:div w:id="1794133426">
                                          <w:marLeft w:val="0"/>
                                          <w:marRight w:val="0"/>
                                          <w:marTop w:val="0"/>
                                          <w:marBottom w:val="0"/>
                                          <w:divBdr>
                                            <w:top w:val="none" w:sz="0" w:space="0" w:color="auto"/>
                                            <w:left w:val="none" w:sz="0" w:space="0" w:color="auto"/>
                                            <w:bottom w:val="none" w:sz="0" w:space="0" w:color="auto"/>
                                            <w:right w:val="none" w:sz="0" w:space="0" w:color="auto"/>
                                          </w:divBdr>
                                        </w:div>
                                        <w:div w:id="18485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600233">
      <w:bodyDiv w:val="1"/>
      <w:marLeft w:val="0"/>
      <w:marRight w:val="0"/>
      <w:marTop w:val="0"/>
      <w:marBottom w:val="0"/>
      <w:divBdr>
        <w:top w:val="none" w:sz="0" w:space="0" w:color="auto"/>
        <w:left w:val="none" w:sz="0" w:space="0" w:color="auto"/>
        <w:bottom w:val="none" w:sz="0" w:space="0" w:color="auto"/>
        <w:right w:val="none" w:sz="0" w:space="0" w:color="auto"/>
      </w:divBdr>
    </w:div>
    <w:div w:id="1275405497">
      <w:bodyDiv w:val="1"/>
      <w:marLeft w:val="0"/>
      <w:marRight w:val="0"/>
      <w:marTop w:val="0"/>
      <w:marBottom w:val="0"/>
      <w:divBdr>
        <w:top w:val="none" w:sz="0" w:space="0" w:color="auto"/>
        <w:left w:val="none" w:sz="0" w:space="0" w:color="auto"/>
        <w:bottom w:val="none" w:sz="0" w:space="0" w:color="auto"/>
        <w:right w:val="none" w:sz="0" w:space="0" w:color="auto"/>
      </w:divBdr>
      <w:divsChild>
        <w:div w:id="749618543">
          <w:marLeft w:val="0"/>
          <w:marRight w:val="0"/>
          <w:marTop w:val="0"/>
          <w:marBottom w:val="0"/>
          <w:divBdr>
            <w:top w:val="none" w:sz="0" w:space="0" w:color="auto"/>
            <w:left w:val="none" w:sz="0" w:space="0" w:color="auto"/>
            <w:bottom w:val="none" w:sz="0" w:space="0" w:color="auto"/>
            <w:right w:val="none" w:sz="0" w:space="0" w:color="auto"/>
          </w:divBdr>
          <w:divsChild>
            <w:div w:id="82528486">
              <w:marLeft w:val="0"/>
              <w:marRight w:val="0"/>
              <w:marTop w:val="0"/>
              <w:marBottom w:val="0"/>
              <w:divBdr>
                <w:top w:val="none" w:sz="0" w:space="0" w:color="auto"/>
                <w:left w:val="none" w:sz="0" w:space="0" w:color="auto"/>
                <w:bottom w:val="none" w:sz="0" w:space="0" w:color="auto"/>
                <w:right w:val="none" w:sz="0" w:space="0" w:color="auto"/>
              </w:divBdr>
              <w:divsChild>
                <w:div w:id="1372530324">
                  <w:marLeft w:val="0"/>
                  <w:marRight w:val="0"/>
                  <w:marTop w:val="0"/>
                  <w:marBottom w:val="0"/>
                  <w:divBdr>
                    <w:top w:val="none" w:sz="0" w:space="0" w:color="auto"/>
                    <w:left w:val="none" w:sz="0" w:space="0" w:color="auto"/>
                    <w:bottom w:val="none" w:sz="0" w:space="0" w:color="auto"/>
                    <w:right w:val="none" w:sz="0" w:space="0" w:color="auto"/>
                  </w:divBdr>
                  <w:divsChild>
                    <w:div w:id="1439372642">
                      <w:marLeft w:val="0"/>
                      <w:marRight w:val="0"/>
                      <w:marTop w:val="0"/>
                      <w:marBottom w:val="0"/>
                      <w:divBdr>
                        <w:top w:val="none" w:sz="0" w:space="0" w:color="auto"/>
                        <w:left w:val="none" w:sz="0" w:space="0" w:color="auto"/>
                        <w:bottom w:val="none" w:sz="0" w:space="0" w:color="auto"/>
                        <w:right w:val="none" w:sz="0" w:space="0" w:color="auto"/>
                      </w:divBdr>
                      <w:divsChild>
                        <w:div w:id="1390760424">
                          <w:marLeft w:val="375"/>
                          <w:marRight w:val="0"/>
                          <w:marTop w:val="0"/>
                          <w:marBottom w:val="0"/>
                          <w:divBdr>
                            <w:top w:val="none" w:sz="0" w:space="0" w:color="auto"/>
                            <w:left w:val="none" w:sz="0" w:space="0" w:color="auto"/>
                            <w:bottom w:val="none" w:sz="0" w:space="0" w:color="auto"/>
                            <w:right w:val="none" w:sz="0" w:space="0" w:color="auto"/>
                          </w:divBdr>
                          <w:divsChild>
                            <w:div w:id="311569283">
                              <w:marLeft w:val="0"/>
                              <w:marRight w:val="0"/>
                              <w:marTop w:val="0"/>
                              <w:marBottom w:val="300"/>
                              <w:divBdr>
                                <w:top w:val="none" w:sz="0" w:space="0" w:color="auto"/>
                                <w:left w:val="single" w:sz="6" w:space="0" w:color="EDEDED"/>
                                <w:bottom w:val="single" w:sz="6" w:space="26" w:color="EDEDED"/>
                                <w:right w:val="single" w:sz="6" w:space="0" w:color="EDEDED"/>
                              </w:divBdr>
                              <w:divsChild>
                                <w:div w:id="15286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19928">
      <w:bodyDiv w:val="1"/>
      <w:marLeft w:val="0"/>
      <w:marRight w:val="0"/>
      <w:marTop w:val="0"/>
      <w:marBottom w:val="0"/>
      <w:divBdr>
        <w:top w:val="none" w:sz="0" w:space="0" w:color="auto"/>
        <w:left w:val="none" w:sz="0" w:space="0" w:color="auto"/>
        <w:bottom w:val="none" w:sz="0" w:space="0" w:color="auto"/>
        <w:right w:val="none" w:sz="0" w:space="0" w:color="auto"/>
      </w:divBdr>
      <w:divsChild>
        <w:div w:id="2144808532">
          <w:marLeft w:val="0"/>
          <w:marRight w:val="0"/>
          <w:marTop w:val="0"/>
          <w:marBottom w:val="0"/>
          <w:divBdr>
            <w:top w:val="none" w:sz="0" w:space="0" w:color="auto"/>
            <w:left w:val="none" w:sz="0" w:space="0" w:color="auto"/>
            <w:bottom w:val="none" w:sz="0" w:space="0" w:color="auto"/>
            <w:right w:val="none" w:sz="0" w:space="0" w:color="auto"/>
          </w:divBdr>
          <w:divsChild>
            <w:div w:id="966089160">
              <w:marLeft w:val="0"/>
              <w:marRight w:val="0"/>
              <w:marTop w:val="0"/>
              <w:marBottom w:val="0"/>
              <w:divBdr>
                <w:top w:val="none" w:sz="0" w:space="0" w:color="auto"/>
                <w:left w:val="none" w:sz="0" w:space="0" w:color="auto"/>
                <w:bottom w:val="none" w:sz="0" w:space="0" w:color="auto"/>
                <w:right w:val="none" w:sz="0" w:space="0" w:color="auto"/>
              </w:divBdr>
              <w:divsChild>
                <w:div w:id="594291960">
                  <w:marLeft w:val="0"/>
                  <w:marRight w:val="0"/>
                  <w:marTop w:val="0"/>
                  <w:marBottom w:val="0"/>
                  <w:divBdr>
                    <w:top w:val="none" w:sz="0" w:space="0" w:color="auto"/>
                    <w:left w:val="none" w:sz="0" w:space="0" w:color="auto"/>
                    <w:bottom w:val="none" w:sz="0" w:space="0" w:color="auto"/>
                    <w:right w:val="none" w:sz="0" w:space="0" w:color="auto"/>
                  </w:divBdr>
                  <w:divsChild>
                    <w:div w:id="1650671171">
                      <w:marLeft w:val="0"/>
                      <w:marRight w:val="0"/>
                      <w:marTop w:val="0"/>
                      <w:marBottom w:val="0"/>
                      <w:divBdr>
                        <w:top w:val="none" w:sz="0" w:space="0" w:color="auto"/>
                        <w:left w:val="none" w:sz="0" w:space="0" w:color="auto"/>
                        <w:bottom w:val="none" w:sz="0" w:space="0" w:color="auto"/>
                        <w:right w:val="none" w:sz="0" w:space="0" w:color="auto"/>
                      </w:divBdr>
                      <w:divsChild>
                        <w:div w:id="1386643047">
                          <w:marLeft w:val="375"/>
                          <w:marRight w:val="0"/>
                          <w:marTop w:val="0"/>
                          <w:marBottom w:val="0"/>
                          <w:divBdr>
                            <w:top w:val="none" w:sz="0" w:space="0" w:color="auto"/>
                            <w:left w:val="none" w:sz="0" w:space="0" w:color="auto"/>
                            <w:bottom w:val="none" w:sz="0" w:space="0" w:color="auto"/>
                            <w:right w:val="none" w:sz="0" w:space="0" w:color="auto"/>
                          </w:divBdr>
                          <w:divsChild>
                            <w:div w:id="2073887259">
                              <w:marLeft w:val="0"/>
                              <w:marRight w:val="0"/>
                              <w:marTop w:val="0"/>
                              <w:marBottom w:val="300"/>
                              <w:divBdr>
                                <w:top w:val="none" w:sz="0" w:space="0" w:color="auto"/>
                                <w:left w:val="single" w:sz="6" w:space="0" w:color="EDEDED"/>
                                <w:bottom w:val="single" w:sz="6" w:space="26" w:color="EDEDED"/>
                                <w:right w:val="single" w:sz="6" w:space="0" w:color="EDEDED"/>
                              </w:divBdr>
                              <w:divsChild>
                                <w:div w:id="10600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056879">
      <w:bodyDiv w:val="1"/>
      <w:marLeft w:val="0"/>
      <w:marRight w:val="0"/>
      <w:marTop w:val="0"/>
      <w:marBottom w:val="0"/>
      <w:divBdr>
        <w:top w:val="none" w:sz="0" w:space="0" w:color="auto"/>
        <w:left w:val="none" w:sz="0" w:space="0" w:color="auto"/>
        <w:bottom w:val="none" w:sz="0" w:space="0" w:color="auto"/>
        <w:right w:val="none" w:sz="0" w:space="0" w:color="auto"/>
      </w:divBdr>
    </w:div>
    <w:div w:id="1535382314">
      <w:bodyDiv w:val="1"/>
      <w:marLeft w:val="0"/>
      <w:marRight w:val="0"/>
      <w:marTop w:val="0"/>
      <w:marBottom w:val="0"/>
      <w:divBdr>
        <w:top w:val="none" w:sz="0" w:space="0" w:color="auto"/>
        <w:left w:val="none" w:sz="0" w:space="0" w:color="auto"/>
        <w:bottom w:val="none" w:sz="0" w:space="0" w:color="auto"/>
        <w:right w:val="none" w:sz="0" w:space="0" w:color="auto"/>
      </w:divBdr>
    </w:div>
    <w:div w:id="1555386227">
      <w:bodyDiv w:val="1"/>
      <w:marLeft w:val="0"/>
      <w:marRight w:val="0"/>
      <w:marTop w:val="0"/>
      <w:marBottom w:val="0"/>
      <w:divBdr>
        <w:top w:val="none" w:sz="0" w:space="0" w:color="auto"/>
        <w:left w:val="none" w:sz="0" w:space="0" w:color="auto"/>
        <w:bottom w:val="none" w:sz="0" w:space="0" w:color="auto"/>
        <w:right w:val="none" w:sz="0" w:space="0" w:color="auto"/>
      </w:divBdr>
      <w:divsChild>
        <w:div w:id="1768227913">
          <w:marLeft w:val="0"/>
          <w:marRight w:val="0"/>
          <w:marTop w:val="0"/>
          <w:marBottom w:val="0"/>
          <w:divBdr>
            <w:top w:val="none" w:sz="0" w:space="0" w:color="auto"/>
            <w:left w:val="none" w:sz="0" w:space="0" w:color="auto"/>
            <w:bottom w:val="none" w:sz="0" w:space="0" w:color="auto"/>
            <w:right w:val="none" w:sz="0" w:space="0" w:color="auto"/>
          </w:divBdr>
          <w:divsChild>
            <w:div w:id="110248403">
              <w:marLeft w:val="0"/>
              <w:marRight w:val="0"/>
              <w:marTop w:val="0"/>
              <w:marBottom w:val="0"/>
              <w:divBdr>
                <w:top w:val="none" w:sz="0" w:space="0" w:color="auto"/>
                <w:left w:val="none" w:sz="0" w:space="0" w:color="auto"/>
                <w:bottom w:val="none" w:sz="0" w:space="0" w:color="auto"/>
                <w:right w:val="none" w:sz="0" w:space="0" w:color="auto"/>
              </w:divBdr>
              <w:divsChild>
                <w:div w:id="148912309">
                  <w:marLeft w:val="0"/>
                  <w:marRight w:val="0"/>
                  <w:marTop w:val="0"/>
                  <w:marBottom w:val="0"/>
                  <w:divBdr>
                    <w:top w:val="none" w:sz="0" w:space="0" w:color="auto"/>
                    <w:left w:val="none" w:sz="0" w:space="0" w:color="auto"/>
                    <w:bottom w:val="none" w:sz="0" w:space="0" w:color="auto"/>
                    <w:right w:val="none" w:sz="0" w:space="0" w:color="auto"/>
                  </w:divBdr>
                  <w:divsChild>
                    <w:div w:id="1866165669">
                      <w:marLeft w:val="0"/>
                      <w:marRight w:val="0"/>
                      <w:marTop w:val="0"/>
                      <w:marBottom w:val="0"/>
                      <w:divBdr>
                        <w:top w:val="none" w:sz="0" w:space="0" w:color="auto"/>
                        <w:left w:val="none" w:sz="0" w:space="0" w:color="auto"/>
                        <w:bottom w:val="none" w:sz="0" w:space="0" w:color="auto"/>
                        <w:right w:val="none" w:sz="0" w:space="0" w:color="auto"/>
                      </w:divBdr>
                      <w:divsChild>
                        <w:div w:id="610623474">
                          <w:marLeft w:val="375"/>
                          <w:marRight w:val="0"/>
                          <w:marTop w:val="0"/>
                          <w:marBottom w:val="0"/>
                          <w:divBdr>
                            <w:top w:val="none" w:sz="0" w:space="0" w:color="auto"/>
                            <w:left w:val="none" w:sz="0" w:space="0" w:color="auto"/>
                            <w:bottom w:val="none" w:sz="0" w:space="0" w:color="auto"/>
                            <w:right w:val="none" w:sz="0" w:space="0" w:color="auto"/>
                          </w:divBdr>
                          <w:divsChild>
                            <w:div w:id="878012464">
                              <w:marLeft w:val="0"/>
                              <w:marRight w:val="0"/>
                              <w:marTop w:val="0"/>
                              <w:marBottom w:val="300"/>
                              <w:divBdr>
                                <w:top w:val="none" w:sz="0" w:space="0" w:color="auto"/>
                                <w:left w:val="single" w:sz="6" w:space="0" w:color="EDEDED"/>
                                <w:bottom w:val="single" w:sz="6" w:space="26" w:color="EDEDED"/>
                                <w:right w:val="single" w:sz="6" w:space="0" w:color="EDEDED"/>
                              </w:divBdr>
                              <w:divsChild>
                                <w:div w:id="922759666">
                                  <w:marLeft w:val="0"/>
                                  <w:marRight w:val="0"/>
                                  <w:marTop w:val="0"/>
                                  <w:marBottom w:val="0"/>
                                  <w:divBdr>
                                    <w:top w:val="none" w:sz="0" w:space="0" w:color="auto"/>
                                    <w:left w:val="none" w:sz="0" w:space="0" w:color="auto"/>
                                    <w:bottom w:val="none" w:sz="0" w:space="0" w:color="auto"/>
                                    <w:right w:val="none" w:sz="0" w:space="0" w:color="auto"/>
                                  </w:divBdr>
                                  <w:divsChild>
                                    <w:div w:id="1192957868">
                                      <w:marLeft w:val="0"/>
                                      <w:marRight w:val="0"/>
                                      <w:marTop w:val="0"/>
                                      <w:marBottom w:val="240"/>
                                      <w:divBdr>
                                        <w:top w:val="none" w:sz="0" w:space="0" w:color="auto"/>
                                        <w:left w:val="none" w:sz="0" w:space="0" w:color="auto"/>
                                        <w:bottom w:val="none" w:sz="0" w:space="0" w:color="auto"/>
                                        <w:right w:val="none" w:sz="0" w:space="0" w:color="auto"/>
                                      </w:divBdr>
                                      <w:divsChild>
                                        <w:div w:id="893468683">
                                          <w:marLeft w:val="0"/>
                                          <w:marRight w:val="0"/>
                                          <w:marTop w:val="0"/>
                                          <w:marBottom w:val="0"/>
                                          <w:divBdr>
                                            <w:top w:val="none" w:sz="0" w:space="0" w:color="auto"/>
                                            <w:left w:val="none" w:sz="0" w:space="0" w:color="auto"/>
                                            <w:bottom w:val="none" w:sz="0" w:space="0" w:color="auto"/>
                                            <w:right w:val="none" w:sz="0" w:space="0" w:color="auto"/>
                                          </w:divBdr>
                                        </w:div>
                                        <w:div w:id="1115908882">
                                          <w:marLeft w:val="0"/>
                                          <w:marRight w:val="0"/>
                                          <w:marTop w:val="0"/>
                                          <w:marBottom w:val="0"/>
                                          <w:divBdr>
                                            <w:top w:val="none" w:sz="0" w:space="0" w:color="auto"/>
                                            <w:left w:val="none" w:sz="0" w:space="0" w:color="auto"/>
                                            <w:bottom w:val="none" w:sz="0" w:space="0" w:color="auto"/>
                                            <w:right w:val="none" w:sz="0" w:space="0" w:color="auto"/>
                                          </w:divBdr>
                                        </w:div>
                                        <w:div w:id="1851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260176">
      <w:bodyDiv w:val="1"/>
      <w:marLeft w:val="0"/>
      <w:marRight w:val="0"/>
      <w:marTop w:val="0"/>
      <w:marBottom w:val="0"/>
      <w:divBdr>
        <w:top w:val="none" w:sz="0" w:space="0" w:color="auto"/>
        <w:left w:val="none" w:sz="0" w:space="0" w:color="auto"/>
        <w:bottom w:val="none" w:sz="0" w:space="0" w:color="auto"/>
        <w:right w:val="none" w:sz="0" w:space="0" w:color="auto"/>
      </w:divBdr>
      <w:divsChild>
        <w:div w:id="1170757814">
          <w:marLeft w:val="0"/>
          <w:marRight w:val="0"/>
          <w:marTop w:val="0"/>
          <w:marBottom w:val="0"/>
          <w:divBdr>
            <w:top w:val="none" w:sz="0" w:space="0" w:color="auto"/>
            <w:left w:val="none" w:sz="0" w:space="0" w:color="auto"/>
            <w:bottom w:val="none" w:sz="0" w:space="0" w:color="auto"/>
            <w:right w:val="none" w:sz="0" w:space="0" w:color="auto"/>
          </w:divBdr>
          <w:divsChild>
            <w:div w:id="1724015171">
              <w:marLeft w:val="0"/>
              <w:marRight w:val="0"/>
              <w:marTop w:val="0"/>
              <w:marBottom w:val="0"/>
              <w:divBdr>
                <w:top w:val="none" w:sz="0" w:space="0" w:color="auto"/>
                <w:left w:val="none" w:sz="0" w:space="0" w:color="auto"/>
                <w:bottom w:val="none" w:sz="0" w:space="0" w:color="auto"/>
                <w:right w:val="none" w:sz="0" w:space="0" w:color="auto"/>
              </w:divBdr>
              <w:divsChild>
                <w:div w:id="1741516006">
                  <w:marLeft w:val="0"/>
                  <w:marRight w:val="0"/>
                  <w:marTop w:val="0"/>
                  <w:marBottom w:val="0"/>
                  <w:divBdr>
                    <w:top w:val="none" w:sz="0" w:space="0" w:color="auto"/>
                    <w:left w:val="none" w:sz="0" w:space="0" w:color="auto"/>
                    <w:bottom w:val="none" w:sz="0" w:space="0" w:color="auto"/>
                    <w:right w:val="none" w:sz="0" w:space="0" w:color="auto"/>
                  </w:divBdr>
                  <w:divsChild>
                    <w:div w:id="576092398">
                      <w:marLeft w:val="0"/>
                      <w:marRight w:val="0"/>
                      <w:marTop w:val="0"/>
                      <w:marBottom w:val="0"/>
                      <w:divBdr>
                        <w:top w:val="none" w:sz="0" w:space="0" w:color="auto"/>
                        <w:left w:val="none" w:sz="0" w:space="0" w:color="auto"/>
                        <w:bottom w:val="none" w:sz="0" w:space="0" w:color="auto"/>
                        <w:right w:val="none" w:sz="0" w:space="0" w:color="auto"/>
                      </w:divBdr>
                      <w:divsChild>
                        <w:div w:id="338696234">
                          <w:marLeft w:val="375"/>
                          <w:marRight w:val="0"/>
                          <w:marTop w:val="0"/>
                          <w:marBottom w:val="0"/>
                          <w:divBdr>
                            <w:top w:val="none" w:sz="0" w:space="0" w:color="auto"/>
                            <w:left w:val="none" w:sz="0" w:space="0" w:color="auto"/>
                            <w:bottom w:val="none" w:sz="0" w:space="0" w:color="auto"/>
                            <w:right w:val="none" w:sz="0" w:space="0" w:color="auto"/>
                          </w:divBdr>
                          <w:divsChild>
                            <w:div w:id="1818062172">
                              <w:marLeft w:val="0"/>
                              <w:marRight w:val="0"/>
                              <w:marTop w:val="0"/>
                              <w:marBottom w:val="300"/>
                              <w:divBdr>
                                <w:top w:val="none" w:sz="0" w:space="0" w:color="auto"/>
                                <w:left w:val="single" w:sz="6" w:space="0" w:color="EDEDED"/>
                                <w:bottom w:val="single" w:sz="6" w:space="26" w:color="EDEDED"/>
                                <w:right w:val="single" w:sz="6" w:space="0" w:color="EDEDED"/>
                              </w:divBdr>
                              <w:divsChild>
                                <w:div w:id="1301500456">
                                  <w:marLeft w:val="0"/>
                                  <w:marRight w:val="0"/>
                                  <w:marTop w:val="0"/>
                                  <w:marBottom w:val="0"/>
                                  <w:divBdr>
                                    <w:top w:val="none" w:sz="0" w:space="0" w:color="auto"/>
                                    <w:left w:val="none" w:sz="0" w:space="0" w:color="auto"/>
                                    <w:bottom w:val="none" w:sz="0" w:space="0" w:color="auto"/>
                                    <w:right w:val="none" w:sz="0" w:space="0" w:color="auto"/>
                                  </w:divBdr>
                                  <w:divsChild>
                                    <w:div w:id="1767771719">
                                      <w:marLeft w:val="0"/>
                                      <w:marRight w:val="0"/>
                                      <w:marTop w:val="0"/>
                                      <w:marBottom w:val="240"/>
                                      <w:divBdr>
                                        <w:top w:val="none" w:sz="0" w:space="0" w:color="auto"/>
                                        <w:left w:val="none" w:sz="0" w:space="0" w:color="auto"/>
                                        <w:bottom w:val="none" w:sz="0" w:space="0" w:color="auto"/>
                                        <w:right w:val="none" w:sz="0" w:space="0" w:color="auto"/>
                                      </w:divBdr>
                                      <w:divsChild>
                                        <w:div w:id="891887250">
                                          <w:marLeft w:val="0"/>
                                          <w:marRight w:val="0"/>
                                          <w:marTop w:val="0"/>
                                          <w:marBottom w:val="0"/>
                                          <w:divBdr>
                                            <w:top w:val="none" w:sz="0" w:space="0" w:color="auto"/>
                                            <w:left w:val="none" w:sz="0" w:space="0" w:color="auto"/>
                                            <w:bottom w:val="none" w:sz="0" w:space="0" w:color="auto"/>
                                            <w:right w:val="none" w:sz="0" w:space="0" w:color="auto"/>
                                          </w:divBdr>
                                        </w:div>
                                        <w:div w:id="1350983562">
                                          <w:marLeft w:val="0"/>
                                          <w:marRight w:val="0"/>
                                          <w:marTop w:val="0"/>
                                          <w:marBottom w:val="0"/>
                                          <w:divBdr>
                                            <w:top w:val="none" w:sz="0" w:space="0" w:color="auto"/>
                                            <w:left w:val="none" w:sz="0" w:space="0" w:color="auto"/>
                                            <w:bottom w:val="none" w:sz="0" w:space="0" w:color="auto"/>
                                            <w:right w:val="none" w:sz="0" w:space="0" w:color="auto"/>
                                          </w:divBdr>
                                        </w:div>
                                        <w:div w:id="13679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464872">
      <w:bodyDiv w:val="1"/>
      <w:marLeft w:val="0"/>
      <w:marRight w:val="0"/>
      <w:marTop w:val="0"/>
      <w:marBottom w:val="0"/>
      <w:divBdr>
        <w:top w:val="none" w:sz="0" w:space="0" w:color="auto"/>
        <w:left w:val="none" w:sz="0" w:space="0" w:color="auto"/>
        <w:bottom w:val="none" w:sz="0" w:space="0" w:color="auto"/>
        <w:right w:val="none" w:sz="0" w:space="0" w:color="auto"/>
      </w:divBdr>
    </w:div>
    <w:div w:id="21458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hyperlink" Target="http://entilocali.leggiditali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entilocali.leggiditalia.it/" TargetMode="Externa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tilocali.leggiditalia.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tilocali.leggiditalia.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tilocali.leggiditalia.it/" TargetMode="External"/><Relationship Id="rId23" Type="http://schemas.openxmlformats.org/officeDocument/2006/relationships/footer" Target="footer3.xml"/><Relationship Id="rId10" Type="http://schemas.openxmlformats.org/officeDocument/2006/relationships/hyperlink" Target="http://entilocali.leggiditalia.i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hyperlink" Target="http://entilocali.leggiditalia.i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1046</Words>
  <Characters>5988</Characters>
  <Application>Microsoft Office Word</Application>
  <DocSecurity>0</DocSecurity>
  <Lines>75</Lines>
  <Paragraphs>44</Paragraphs>
  <ScaleCrop>false</ScaleCrop>
  <HeadingPairs>
    <vt:vector size="2" baseType="variant">
      <vt:variant>
        <vt:lpstr>Titolo</vt:lpstr>
      </vt:variant>
      <vt:variant>
        <vt:i4>1</vt:i4>
      </vt:variant>
    </vt:vector>
  </HeadingPairs>
  <TitlesOfParts>
    <vt:vector size="1" baseType="lpstr">
      <vt:lpstr/>
    </vt:vector>
  </TitlesOfParts>
  <Company>AS</Company>
  <LinksUpToDate>false</LinksUpToDate>
  <CharactersWithSpaces>6990</CharactersWithSpaces>
  <SharedDoc>false</SharedDoc>
  <HLinks>
    <vt:vector size="66" baseType="variant">
      <vt:variant>
        <vt:i4>3407974</vt:i4>
      </vt:variant>
      <vt:variant>
        <vt:i4>30</vt:i4>
      </vt:variant>
      <vt:variant>
        <vt:i4>0</vt:i4>
      </vt:variant>
      <vt:variant>
        <vt:i4>5</vt:i4>
      </vt:variant>
      <vt:variant>
        <vt:lpwstr>http://entilocali.leggiditalia.it/</vt:lpwstr>
      </vt:variant>
      <vt:variant>
        <vt:lpwstr>id=10LX0000783063ART22,__m=document</vt:lpwstr>
      </vt:variant>
      <vt:variant>
        <vt:i4>3604589</vt:i4>
      </vt:variant>
      <vt:variant>
        <vt:i4>27</vt:i4>
      </vt:variant>
      <vt:variant>
        <vt:i4>0</vt:i4>
      </vt:variant>
      <vt:variant>
        <vt:i4>5</vt:i4>
      </vt:variant>
      <vt:variant>
        <vt:lpwstr>http://entilocali.leggiditalia.it/</vt:lpwstr>
      </vt:variant>
      <vt:variant>
        <vt:lpwstr>id=10LX0000783063ART91,__m=document</vt:lpwstr>
      </vt:variant>
      <vt:variant>
        <vt:i4>4128878</vt:i4>
      </vt:variant>
      <vt:variant>
        <vt:i4>24</vt:i4>
      </vt:variant>
      <vt:variant>
        <vt:i4>0</vt:i4>
      </vt:variant>
      <vt:variant>
        <vt:i4>5</vt:i4>
      </vt:variant>
      <vt:variant>
        <vt:lpwstr>http://entilocali.leggiditalia.it/</vt:lpwstr>
      </vt:variant>
      <vt:variant>
        <vt:lpwstr>id=10LX0000806340ART21,__m=document</vt:lpwstr>
      </vt:variant>
      <vt:variant>
        <vt:i4>4128878</vt:i4>
      </vt:variant>
      <vt:variant>
        <vt:i4>21</vt:i4>
      </vt:variant>
      <vt:variant>
        <vt:i4>0</vt:i4>
      </vt:variant>
      <vt:variant>
        <vt:i4>5</vt:i4>
      </vt:variant>
      <vt:variant>
        <vt:lpwstr>http://entilocali.leggiditalia.it/</vt:lpwstr>
      </vt:variant>
      <vt:variant>
        <vt:lpwstr>id=10LX0000806340ART21,__m=document</vt:lpwstr>
      </vt:variant>
      <vt:variant>
        <vt:i4>3276898</vt:i4>
      </vt:variant>
      <vt:variant>
        <vt:i4>18</vt:i4>
      </vt:variant>
      <vt:variant>
        <vt:i4>0</vt:i4>
      </vt:variant>
      <vt:variant>
        <vt:i4>5</vt:i4>
      </vt:variant>
      <vt:variant>
        <vt:lpwstr>http://entilocali.leggiditalia.it/</vt:lpwstr>
      </vt:variant>
      <vt:variant>
        <vt:lpwstr>id=10LX0000754539ART46,__m=document</vt:lpwstr>
      </vt:variant>
      <vt:variant>
        <vt:i4>3211372</vt:i4>
      </vt:variant>
      <vt:variant>
        <vt:i4>15</vt:i4>
      </vt:variant>
      <vt:variant>
        <vt:i4>0</vt:i4>
      </vt:variant>
      <vt:variant>
        <vt:i4>5</vt:i4>
      </vt:variant>
      <vt:variant>
        <vt:lpwstr>http://entilocali.leggiditalia.it/</vt:lpwstr>
      </vt:variant>
      <vt:variant>
        <vt:lpwstr>id=10LX0000798625ART98,__m=document</vt:lpwstr>
      </vt:variant>
      <vt:variant>
        <vt:i4>3539040</vt:i4>
      </vt:variant>
      <vt:variant>
        <vt:i4>12</vt:i4>
      </vt:variant>
      <vt:variant>
        <vt:i4>0</vt:i4>
      </vt:variant>
      <vt:variant>
        <vt:i4>5</vt:i4>
      </vt:variant>
      <vt:variant>
        <vt:lpwstr>http://entilocali.leggiditalia.it/</vt:lpwstr>
      </vt:variant>
      <vt:variant>
        <vt:lpwstr>id=10LX0000654083ART98,__m=document</vt:lpwstr>
      </vt:variant>
      <vt:variant>
        <vt:i4>3866734</vt:i4>
      </vt:variant>
      <vt:variant>
        <vt:i4>9</vt:i4>
      </vt:variant>
      <vt:variant>
        <vt:i4>0</vt:i4>
      </vt:variant>
      <vt:variant>
        <vt:i4>5</vt:i4>
      </vt:variant>
      <vt:variant>
        <vt:lpwstr>http://entilocali.leggiditalia.it/</vt:lpwstr>
      </vt:variant>
      <vt:variant>
        <vt:lpwstr>id=10LX0000756196ART37,__m=document</vt:lpwstr>
      </vt:variant>
      <vt:variant>
        <vt:i4>3211372</vt:i4>
      </vt:variant>
      <vt:variant>
        <vt:i4>6</vt:i4>
      </vt:variant>
      <vt:variant>
        <vt:i4>0</vt:i4>
      </vt:variant>
      <vt:variant>
        <vt:i4>5</vt:i4>
      </vt:variant>
      <vt:variant>
        <vt:lpwstr>http://entilocali.leggiditalia.it/</vt:lpwstr>
      </vt:variant>
      <vt:variant>
        <vt:lpwstr>id=10LX0000798625ART98,__m=document</vt:lpwstr>
      </vt:variant>
      <vt:variant>
        <vt:i4>8257644</vt:i4>
      </vt:variant>
      <vt:variant>
        <vt:i4>3</vt:i4>
      </vt:variant>
      <vt:variant>
        <vt:i4>0</vt:i4>
      </vt:variant>
      <vt:variant>
        <vt:i4>5</vt:i4>
      </vt:variant>
      <vt:variant>
        <vt:lpwstr>http://entilocali.leggiditalia.it/</vt:lpwstr>
      </vt:variant>
      <vt:variant>
        <vt:lpwstr>id=10LX0000776586ART0,__m=document</vt:lpwstr>
      </vt:variant>
      <vt:variant>
        <vt:i4>7798890</vt:i4>
      </vt:variant>
      <vt:variant>
        <vt:i4>0</vt:i4>
      </vt:variant>
      <vt:variant>
        <vt:i4>0</vt:i4>
      </vt:variant>
      <vt:variant>
        <vt:i4>5</vt:i4>
      </vt:variant>
      <vt:variant>
        <vt:lpwstr>http://entilocali.leggiditalia.it/</vt:lpwstr>
      </vt:variant>
      <vt:variant>
        <vt:lpwstr>id=10LX0000152735ART5,__m=document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Marvi Perra</cp:lastModifiedBy>
  <cp:revision>10</cp:revision>
  <cp:lastPrinted>2011-10-10T09:19:00Z</cp:lastPrinted>
  <dcterms:created xsi:type="dcterms:W3CDTF">2018-02-01T12:39:00Z</dcterms:created>
  <dcterms:modified xsi:type="dcterms:W3CDTF">2023-01-25T14:00:00Z</dcterms:modified>
</cp:coreProperties>
</file>