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Servizio Amministrativo</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r w:rsidRPr="007E3A29">
        <w:rPr>
          <w:rFonts w:ascii="Arial" w:eastAsia="Cambria" w:hAnsi="Arial" w:cs="Arial"/>
          <w:kern w:val="0"/>
          <w:lang w:eastAsia="en-US" w:bidi="ar-SA"/>
        </w:rPr>
        <w:t>Settore Bilancio e Controllo di Gestione</w:t>
      </w: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p w:rsidR="007E3A29" w:rsidRPr="007E3A29" w:rsidRDefault="007E3A29" w:rsidP="007E3A29">
      <w:pPr>
        <w:widowControl/>
        <w:suppressAutoHyphens w:val="0"/>
        <w:autoSpaceDN/>
        <w:spacing w:after="200"/>
        <w:jc w:val="center"/>
        <w:textAlignment w:val="auto"/>
        <w:rPr>
          <w:rFonts w:ascii="Arial" w:eastAsia="Cambria" w:hAnsi="Arial" w:cs="Arial"/>
          <w:kern w:val="0"/>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9605"/>
      </w:tblGrid>
      <w:tr w:rsidR="007E3A29" w:rsidRPr="007E3A29" w:rsidTr="00EC5A59">
        <w:trPr>
          <w:trHeight w:val="555"/>
        </w:trPr>
        <w:tc>
          <w:tcPr>
            <w:tcW w:w="14958" w:type="dxa"/>
            <w:gridSpan w:val="2"/>
            <w:shd w:val="clear" w:color="auto" w:fill="auto"/>
            <w:vAlign w:val="center"/>
          </w:tcPr>
          <w:p w:rsidR="007E3A29" w:rsidRPr="007E3A29" w:rsidRDefault="007E3A29" w:rsidP="007E3A29">
            <w:pPr>
              <w:widowControl/>
              <w:tabs>
                <w:tab w:val="left" w:pos="2520"/>
                <w:tab w:val="left" w:pos="3600"/>
                <w:tab w:val="left" w:pos="4680"/>
              </w:tabs>
              <w:suppressAutoHyphens w:val="0"/>
              <w:autoSpaceDN/>
              <w:jc w:val="center"/>
              <w:textAlignment w:val="auto"/>
              <w:rPr>
                <w:rFonts w:ascii="Arial" w:eastAsia="Times New Roman" w:hAnsi="Arial" w:cs="Arial"/>
                <w:b/>
                <w:kern w:val="0"/>
                <w:lang w:eastAsia="it-IT" w:bidi="ar-SA"/>
              </w:rPr>
            </w:pPr>
            <w:r w:rsidRPr="007E3A29">
              <w:rPr>
                <w:rFonts w:ascii="Arial" w:eastAsia="Times New Roman" w:hAnsi="Arial" w:cs="Arial"/>
                <w:b/>
                <w:kern w:val="0"/>
                <w:lang w:eastAsia="it-IT" w:bidi="ar-SA"/>
              </w:rPr>
              <w:t xml:space="preserve">INDICATORE TRIMESTRALE DI TEMPESTIVITA’ DEI PAGAMENTI                                 </w:t>
            </w:r>
          </w:p>
        </w:tc>
      </w:tr>
      <w:tr w:rsidR="007E3A29" w:rsidRPr="007E3A29" w:rsidTr="00EC5A59">
        <w:trPr>
          <w:trHeight w:val="1188"/>
        </w:trPr>
        <w:tc>
          <w:tcPr>
            <w:tcW w:w="5203" w:type="dxa"/>
            <w:shd w:val="clear" w:color="auto" w:fill="auto"/>
            <w:vAlign w:val="center"/>
          </w:tcPr>
          <w:p w:rsidR="007E3A29" w:rsidRPr="007E3A29" w:rsidRDefault="007E0E89" w:rsidP="007E0E89">
            <w:pPr>
              <w:widowControl/>
              <w:tabs>
                <w:tab w:val="left" w:pos="2520"/>
                <w:tab w:val="left" w:pos="3600"/>
                <w:tab w:val="left" w:pos="4680"/>
              </w:tabs>
              <w:suppressAutoHyphens w:val="0"/>
              <w:autoSpaceDN/>
              <w:textAlignment w:val="auto"/>
              <w:rPr>
                <w:rFonts w:ascii="Arial" w:eastAsia="Times New Roman" w:hAnsi="Arial" w:cs="Arial"/>
                <w:kern w:val="0"/>
                <w:sz w:val="22"/>
                <w:szCs w:val="22"/>
                <w:lang w:eastAsia="it-IT" w:bidi="ar-SA"/>
              </w:rPr>
            </w:pPr>
            <w:r>
              <w:rPr>
                <w:rFonts w:ascii="Arial" w:eastAsia="Times New Roman" w:hAnsi="Arial" w:cs="Arial"/>
                <w:kern w:val="0"/>
                <w:sz w:val="22"/>
                <w:szCs w:val="22"/>
                <w:lang w:eastAsia="it-IT" w:bidi="ar-SA"/>
              </w:rPr>
              <w:t>4</w:t>
            </w:r>
            <w:r w:rsidR="007E3A29" w:rsidRPr="007E3A29">
              <w:rPr>
                <w:rFonts w:ascii="Arial" w:eastAsia="Times New Roman" w:hAnsi="Arial" w:cs="Arial"/>
                <w:kern w:val="0"/>
                <w:sz w:val="22"/>
                <w:szCs w:val="22"/>
                <w:lang w:eastAsia="it-IT" w:bidi="ar-SA"/>
              </w:rPr>
              <w:t xml:space="preserve">° TRIMESTRE 2023 – </w:t>
            </w:r>
            <w:r>
              <w:rPr>
                <w:rFonts w:ascii="Arial" w:eastAsia="Times New Roman" w:hAnsi="Arial" w:cs="Arial"/>
                <w:i/>
                <w:kern w:val="0"/>
                <w:sz w:val="18"/>
                <w:szCs w:val="18"/>
                <w:lang w:eastAsia="it-IT" w:bidi="ar-SA"/>
              </w:rPr>
              <w:t>OTTOBRE</w:t>
            </w:r>
            <w:r w:rsidR="007A0248">
              <w:rPr>
                <w:rFonts w:ascii="Arial" w:eastAsia="Times New Roman" w:hAnsi="Arial" w:cs="Arial"/>
                <w:i/>
                <w:kern w:val="0"/>
                <w:sz w:val="18"/>
                <w:szCs w:val="18"/>
                <w:lang w:eastAsia="it-IT" w:bidi="ar-SA"/>
              </w:rPr>
              <w:t>-</w:t>
            </w:r>
            <w:r>
              <w:rPr>
                <w:rFonts w:ascii="Arial" w:eastAsia="Times New Roman" w:hAnsi="Arial" w:cs="Arial"/>
                <w:i/>
                <w:kern w:val="0"/>
                <w:sz w:val="18"/>
                <w:szCs w:val="18"/>
                <w:lang w:eastAsia="it-IT" w:bidi="ar-SA"/>
              </w:rPr>
              <w:t>DCIEMBRE</w:t>
            </w:r>
            <w:r w:rsidR="0033437F">
              <w:rPr>
                <w:rFonts w:ascii="Arial" w:eastAsia="Times New Roman" w:hAnsi="Arial" w:cs="Arial"/>
                <w:i/>
                <w:kern w:val="0"/>
                <w:sz w:val="18"/>
                <w:szCs w:val="18"/>
                <w:lang w:eastAsia="it-IT" w:bidi="ar-SA"/>
              </w:rPr>
              <w:t xml:space="preserve"> 2023 - scadenza 31/01/2024</w:t>
            </w:r>
            <w:bookmarkStart w:id="0" w:name="_GoBack"/>
            <w:bookmarkEnd w:id="0"/>
          </w:p>
        </w:tc>
        <w:tc>
          <w:tcPr>
            <w:tcW w:w="9755" w:type="dxa"/>
            <w:shd w:val="clear" w:color="auto" w:fill="auto"/>
            <w:vAlign w:val="center"/>
          </w:tcPr>
          <w:p w:rsidR="007E3A29" w:rsidRPr="007E3A29" w:rsidRDefault="007E3A29" w:rsidP="007E3A29">
            <w:pPr>
              <w:widowControl/>
              <w:tabs>
                <w:tab w:val="left" w:pos="2520"/>
                <w:tab w:val="left" w:pos="3600"/>
                <w:tab w:val="left" w:pos="4680"/>
              </w:tabs>
              <w:suppressAutoHyphens w:val="0"/>
              <w:autoSpaceDN/>
              <w:spacing w:before="120" w:line="360" w:lineRule="exact"/>
              <w:ind w:left="1440"/>
              <w:textAlignment w:val="auto"/>
              <w:rPr>
                <w:rFonts w:ascii="Arial" w:eastAsia="Times New Roman" w:hAnsi="Arial" w:cs="Arial"/>
                <w:b/>
                <w:kern w:val="0"/>
                <w:sz w:val="22"/>
                <w:szCs w:val="22"/>
                <w:lang w:eastAsia="it-IT" w:bidi="ar-SA"/>
              </w:rPr>
            </w:pPr>
            <w:r w:rsidRPr="007E3A29">
              <w:rPr>
                <w:rFonts w:ascii="Arial" w:eastAsia="Times New Roman" w:hAnsi="Arial" w:cs="Arial"/>
                <w:kern w:val="0"/>
                <w:sz w:val="22"/>
                <w:szCs w:val="22"/>
                <w:lang w:eastAsia="it-IT" w:bidi="ar-SA"/>
              </w:rPr>
              <w:t>-</w:t>
            </w:r>
            <w:r w:rsidR="007E0E89">
              <w:rPr>
                <w:rFonts w:ascii="Arial" w:eastAsia="Times New Roman" w:hAnsi="Arial" w:cs="Arial"/>
                <w:kern w:val="0"/>
                <w:sz w:val="22"/>
                <w:szCs w:val="22"/>
                <w:lang w:eastAsia="it-IT" w:bidi="ar-SA"/>
              </w:rPr>
              <w:t>8,11</w:t>
            </w:r>
            <w:r w:rsidRPr="007E3A29">
              <w:rPr>
                <w:rFonts w:ascii="Arial" w:eastAsia="Times New Roman" w:hAnsi="Arial" w:cs="Arial"/>
                <w:kern w:val="0"/>
                <w:sz w:val="22"/>
                <w:szCs w:val="22"/>
                <w:lang w:eastAsia="it-IT" w:bidi="ar-SA"/>
              </w:rPr>
              <w:t xml:space="preserve"> GIORNI SOLARI</w:t>
            </w:r>
          </w:p>
          <w:p w:rsidR="007E3A29" w:rsidRPr="007E3A29" w:rsidRDefault="007E3A29" w:rsidP="007E3A29">
            <w:pPr>
              <w:widowControl/>
              <w:tabs>
                <w:tab w:val="left" w:pos="2520"/>
                <w:tab w:val="left" w:pos="3600"/>
                <w:tab w:val="left" w:pos="4680"/>
              </w:tabs>
              <w:suppressAutoHyphens w:val="0"/>
              <w:autoSpaceDN/>
              <w:textAlignment w:val="auto"/>
              <w:rPr>
                <w:rFonts w:ascii="Calibri" w:eastAsia="Times New Roman" w:hAnsi="Calibri" w:cs="Arial"/>
                <w:b/>
                <w:color w:val="222222"/>
                <w:kern w:val="0"/>
                <w:sz w:val="22"/>
                <w:szCs w:val="22"/>
                <w:shd w:val="clear" w:color="auto" w:fill="FFFFFF"/>
                <w:lang w:eastAsia="it-IT" w:bidi="ar-SA"/>
              </w:rPr>
            </w:pPr>
          </w:p>
        </w:tc>
      </w:tr>
    </w:tbl>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suppressAutoHyphens w:val="0"/>
        <w:autoSpaceDN/>
        <w:spacing w:after="200"/>
        <w:textAlignment w:val="auto"/>
        <w:rPr>
          <w:rFonts w:ascii="Cambria" w:eastAsia="Cambria" w:hAnsi="Cambria" w:cs="Times New Roman"/>
          <w:kern w:val="0"/>
          <w:lang w:eastAsia="it-IT" w:bidi="ar-SA"/>
        </w:rPr>
      </w:pPr>
    </w:p>
    <w:p w:rsidR="007E3A29" w:rsidRPr="007E3A29" w:rsidRDefault="007E3A29" w:rsidP="007E3A29">
      <w:pPr>
        <w:widowControl/>
        <w:tabs>
          <w:tab w:val="left" w:pos="8458"/>
          <w:tab w:val="left" w:pos="9639"/>
        </w:tabs>
        <w:suppressAutoHyphens w:val="0"/>
        <w:autoSpaceDN/>
        <w:spacing w:before="120" w:after="120" w:line="360" w:lineRule="exact"/>
        <w:ind w:right="3634" w:firstLine="9639"/>
        <w:jc w:val="center"/>
        <w:textAlignment w:val="auto"/>
        <w:rPr>
          <w:rFonts w:ascii="Arial" w:eastAsia="Times New Roman" w:hAnsi="Arial" w:cs="Arial"/>
          <w:kern w:val="0"/>
          <w:sz w:val="20"/>
          <w:lang w:eastAsia="it-IT" w:bidi="ar-SA"/>
        </w:rPr>
      </w:pPr>
      <w:r w:rsidRPr="007E3A29">
        <w:rPr>
          <w:rFonts w:ascii="Arial" w:eastAsia="Times New Roman" w:hAnsi="Arial" w:cs="Arial"/>
          <w:kern w:val="0"/>
          <w:sz w:val="20"/>
          <w:lang w:eastAsia="it-IT" w:bidi="ar-SA"/>
        </w:rPr>
        <w:t>Firmato</w:t>
      </w:r>
    </w:p>
    <w:p w:rsidR="00C164A5" w:rsidRPr="0034696F" w:rsidRDefault="00C164A5" w:rsidP="00C164A5">
      <w:pPr>
        <w:autoSpaceDE w:val="0"/>
        <w:adjustRightInd w:val="0"/>
        <w:ind w:left="9072" w:right="2359"/>
        <w:jc w:val="center"/>
        <w:rPr>
          <w:rFonts w:ascii="Calibri,Bold" w:hAnsi="Calibri,Bold" w:cs="Calibri,Bold"/>
          <w:b/>
          <w:bCs/>
          <w:sz w:val="20"/>
          <w:szCs w:val="20"/>
          <w:lang w:eastAsia="it-IT"/>
        </w:rPr>
      </w:pPr>
      <w:r w:rsidRPr="0034696F">
        <w:rPr>
          <w:rFonts w:ascii="Calibri,Bold" w:hAnsi="Calibri,Bold" w:cs="Calibri,Bold"/>
          <w:b/>
          <w:bCs/>
          <w:sz w:val="20"/>
          <w:szCs w:val="20"/>
          <w:lang w:eastAsia="it-IT"/>
        </w:rPr>
        <w:t>Il Direttore del Servizio Amministrativo</w:t>
      </w:r>
    </w:p>
    <w:p w:rsidR="00C164A5" w:rsidRPr="0034696F" w:rsidRDefault="00C164A5" w:rsidP="00C164A5">
      <w:pPr>
        <w:tabs>
          <w:tab w:val="left" w:pos="8458"/>
          <w:tab w:val="left" w:pos="8505"/>
        </w:tabs>
        <w:spacing w:before="120" w:after="120" w:line="360" w:lineRule="exact"/>
        <w:ind w:left="9214" w:right="2500"/>
        <w:jc w:val="center"/>
        <w:rPr>
          <w:rFonts w:ascii="Calibri" w:eastAsia="Times New Roman" w:hAnsi="Calibri" w:cs="Calibri"/>
          <w:sz w:val="20"/>
          <w:szCs w:val="20"/>
          <w:lang w:eastAsia="it-IT"/>
        </w:rPr>
      </w:pPr>
      <w:r w:rsidRPr="0034696F">
        <w:rPr>
          <w:rFonts w:ascii="Calibri" w:eastAsia="Times New Roman" w:hAnsi="Calibri" w:cs="Calibri"/>
          <w:sz w:val="20"/>
          <w:szCs w:val="20"/>
          <w:lang w:eastAsia="it-IT"/>
        </w:rPr>
        <w:t xml:space="preserve">Dott. Antonio Francesco </w:t>
      </w:r>
      <w:proofErr w:type="spellStart"/>
      <w:r w:rsidRPr="0034696F">
        <w:rPr>
          <w:rFonts w:ascii="Calibri" w:eastAsia="Times New Roman" w:hAnsi="Calibri" w:cs="Calibri"/>
          <w:sz w:val="20"/>
          <w:szCs w:val="20"/>
          <w:lang w:eastAsia="it-IT"/>
        </w:rPr>
        <w:t>Temussi</w:t>
      </w:r>
      <w:proofErr w:type="spellEnd"/>
    </w:p>
    <w:p w:rsidR="00687D79" w:rsidRPr="007E3A29" w:rsidRDefault="00687D79" w:rsidP="007E3A29">
      <w:pPr>
        <w:widowControl/>
        <w:tabs>
          <w:tab w:val="left" w:pos="8458"/>
          <w:tab w:val="left" w:pos="8505"/>
        </w:tabs>
        <w:suppressAutoHyphens w:val="0"/>
        <w:autoSpaceDN/>
        <w:spacing w:before="120" w:after="120" w:line="360" w:lineRule="exact"/>
        <w:ind w:left="9214" w:right="2500"/>
        <w:jc w:val="center"/>
        <w:textAlignment w:val="auto"/>
        <w:rPr>
          <w:rFonts w:ascii="Calibri" w:eastAsia="Times New Roman" w:hAnsi="Calibri" w:cs="Calibri"/>
          <w:kern w:val="0"/>
          <w:sz w:val="20"/>
          <w:szCs w:val="20"/>
          <w:lang w:eastAsia="it-IT" w:bidi="ar-SA"/>
        </w:rPr>
      </w:pPr>
      <w:r>
        <w:rPr>
          <w:rFonts w:ascii="Calibri" w:eastAsia="Calibri" w:hAnsi="Calibri" w:cs="TimesNewRomanPSMT"/>
          <w:i/>
          <w:kern w:val="0"/>
          <w:sz w:val="16"/>
          <w:szCs w:val="16"/>
          <w:lang w:eastAsia="en-US" w:bidi="ar-SA"/>
        </w:rPr>
        <w:t xml:space="preserve">  </w:t>
      </w:r>
      <w:r w:rsidRPr="00BD09ED">
        <w:rPr>
          <w:rFonts w:ascii="Calibri" w:eastAsia="Calibri" w:hAnsi="Calibri" w:cs="TimesNewRomanPSMT"/>
          <w:i/>
          <w:kern w:val="0"/>
          <w:sz w:val="16"/>
          <w:szCs w:val="16"/>
          <w:lang w:eastAsia="en-US" w:bidi="ar-SA"/>
        </w:rPr>
        <w:t xml:space="preserve">(firmato digitalmente ai sensi </w:t>
      </w:r>
      <w:proofErr w:type="spellStart"/>
      <w:r w:rsidRPr="00BD09ED">
        <w:rPr>
          <w:rFonts w:ascii="Calibri" w:eastAsia="Calibri" w:hAnsi="Calibri" w:cs="TimesNewRomanPSMT"/>
          <w:i/>
          <w:kern w:val="0"/>
          <w:sz w:val="16"/>
          <w:szCs w:val="16"/>
          <w:lang w:eastAsia="en-US" w:bidi="ar-SA"/>
        </w:rPr>
        <w:t>D.lgs</w:t>
      </w:r>
      <w:proofErr w:type="spellEnd"/>
      <w:r w:rsidRPr="00BD09ED">
        <w:rPr>
          <w:rFonts w:ascii="Calibri" w:eastAsia="Calibri" w:hAnsi="Calibri" w:cs="TimesNewRomanPSMT"/>
          <w:i/>
          <w:kern w:val="0"/>
          <w:sz w:val="16"/>
          <w:szCs w:val="16"/>
          <w:lang w:eastAsia="en-US" w:bidi="ar-SA"/>
        </w:rPr>
        <w:t xml:space="preserve"> 82/05)</w:t>
      </w:r>
    </w:p>
    <w:p w:rsidR="007E3A29" w:rsidRPr="007E3A29" w:rsidRDefault="007E3A29" w:rsidP="007E3A29">
      <w:pPr>
        <w:widowControl/>
        <w:tabs>
          <w:tab w:val="left" w:pos="2520"/>
          <w:tab w:val="left" w:pos="3600"/>
          <w:tab w:val="left" w:pos="4680"/>
        </w:tabs>
        <w:suppressAutoHyphens w:val="0"/>
        <w:autoSpaceDN/>
        <w:spacing w:before="120" w:after="120" w:line="360" w:lineRule="exact"/>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kern w:val="0"/>
          <w:sz w:val="20"/>
          <w:lang w:eastAsia="it-IT" w:bidi="ar-SA"/>
        </w:rPr>
        <w:br w:type="page"/>
      </w:r>
      <w:r w:rsidRPr="007E3A29">
        <w:rPr>
          <w:rFonts w:ascii="Arial" w:eastAsia="Times New Roman" w:hAnsi="Arial" w:cs="Arial"/>
          <w:b/>
          <w:bCs/>
          <w:kern w:val="0"/>
          <w:sz w:val="20"/>
          <w:szCs w:val="20"/>
          <w:lang w:eastAsia="it-IT" w:bidi="ar-SA"/>
        </w:rPr>
        <w:lastRenderedPageBreak/>
        <w:t xml:space="preserve">D. </w:t>
      </w:r>
      <w:proofErr w:type="spellStart"/>
      <w:r w:rsidRPr="007E3A29">
        <w:rPr>
          <w:rFonts w:ascii="Arial" w:eastAsia="Times New Roman" w:hAnsi="Arial" w:cs="Arial"/>
          <w:b/>
          <w:bCs/>
          <w:kern w:val="0"/>
          <w:sz w:val="20"/>
          <w:szCs w:val="20"/>
          <w:lang w:eastAsia="it-IT" w:bidi="ar-SA"/>
        </w:rPr>
        <w:t>Lgs</w:t>
      </w:r>
      <w:proofErr w:type="spellEnd"/>
      <w:r w:rsidRPr="007E3A29">
        <w:rPr>
          <w:rFonts w:ascii="Arial" w:eastAsia="Times New Roman" w:hAnsi="Arial" w:cs="Arial"/>
          <w:b/>
          <w:bCs/>
          <w:kern w:val="0"/>
          <w:sz w:val="20"/>
          <w:szCs w:val="20"/>
          <w:lang w:eastAsia="it-IT" w:bidi="ar-SA"/>
        </w:rPr>
        <w:t>. 14/03/2013, n. 33 - Riordino della disciplina riguardante gli obblighi di pubblicità, trasparenza e diffusione di informazioni da parte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 xml:space="preserve">Art. </w:t>
      </w:r>
      <w:proofErr w:type="gramStart"/>
      <w:r w:rsidRPr="007E3A29">
        <w:rPr>
          <w:rFonts w:ascii="Arial" w:eastAsia="Times New Roman" w:hAnsi="Arial" w:cs="Arial"/>
          <w:b/>
          <w:bCs/>
          <w:kern w:val="0"/>
          <w:sz w:val="20"/>
          <w:szCs w:val="20"/>
          <w:lang w:eastAsia="it-IT" w:bidi="ar-SA"/>
        </w:rPr>
        <w:t>33</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Obblighi</w:t>
      </w:r>
      <w:proofErr w:type="gramEnd"/>
      <w:r w:rsidRPr="007E3A29">
        <w:rPr>
          <w:rFonts w:ascii="Arial" w:eastAsia="Times New Roman" w:hAnsi="Arial" w:cs="Arial"/>
          <w:b/>
          <w:bCs/>
          <w:kern w:val="0"/>
          <w:sz w:val="20"/>
          <w:szCs w:val="20"/>
          <w:lang w:eastAsia="it-IT" w:bidi="ar-SA"/>
        </w:rPr>
        <w:t xml:space="preserve"> di pubblicazione concernenti i tempi di pagamento dell'amministrazione</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b/>
          <w:bCs/>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D.P.C.M. 22/09/2014</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b/>
          <w:bCs/>
          <w:kern w:val="0"/>
          <w:sz w:val="20"/>
          <w:szCs w:val="20"/>
          <w:lang w:eastAsia="it-IT" w:bidi="ar-SA"/>
        </w:rPr>
      </w:pPr>
      <w:r w:rsidRPr="007E3A29">
        <w:rPr>
          <w:rFonts w:ascii="Arial" w:eastAsia="Times New Roman" w:hAnsi="Arial" w:cs="Arial"/>
          <w:b/>
          <w:bCs/>
          <w:kern w:val="0"/>
          <w:sz w:val="20"/>
          <w:szCs w:val="20"/>
          <w:lang w:eastAsia="it-IT" w:bidi="ar-SA"/>
        </w:rPr>
        <w:t>Definizione degli schemi e delle modalità per la pubblicazione su internet dei dati relativi alle entrate e alla spesa dei bilanci preventivi e consuntivi e dell'indicatore annuale di tempestività dei pagamenti delle pubbliche amministrazioni.</w:t>
      </w:r>
    </w:p>
    <w:p w:rsidR="007E3A29" w:rsidRPr="007E3A29" w:rsidRDefault="007E3A29" w:rsidP="007E3A29">
      <w:pPr>
        <w:widowControl/>
        <w:tabs>
          <w:tab w:val="left" w:pos="2520"/>
          <w:tab w:val="left" w:pos="3600"/>
          <w:tab w:val="left" w:pos="4680"/>
        </w:tabs>
        <w:suppressAutoHyphens w:val="0"/>
        <w:autoSpaceDN/>
        <w:spacing w:line="360" w:lineRule="exact"/>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9.</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Definizione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4.  Ai fini del presente decreto e del calcolo dell'indicatore si intende per: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a.  “transazione commerciale”, i contratti, comunque denominati, tra imprese e pubbliche amministrazioni, che comportano, in via esclusiva o prevalente, la consegna di merci o la prestazione di servizi contro il pagamento di un prezzo;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b.  “giorni effettivi”, tutti i giorni da calendario, compresi i festivi;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c.  “data di pagamento”, la data di trasmissione dell'ordinativo di pagamento in tesoreria;</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d.  “data di scadenza”, i termini previsti dall' </w:t>
      </w:r>
      <w:hyperlink r:id="rId7" w:anchor="id=10LX0000152735ART5,__m=document" w:history="1">
        <w:r w:rsidRPr="007E3A29">
          <w:rPr>
            <w:rFonts w:ascii="Arial" w:eastAsia="Times New Roman" w:hAnsi="Arial" w:cs="Arial"/>
            <w:i/>
            <w:iCs/>
            <w:color w:val="0000FF"/>
            <w:kern w:val="0"/>
            <w:sz w:val="20"/>
            <w:szCs w:val="20"/>
            <w:u w:val="single"/>
            <w:lang w:eastAsia="it-IT" w:bidi="ar-SA"/>
          </w:rPr>
          <w:t>art. 4 del decreto legislativo 9 ottobre 2002, n. 231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come modificato dal </w:t>
      </w:r>
      <w:hyperlink r:id="rId8" w:anchor="id=10LX0000776586ART0,__m=document" w:history="1">
        <w:r w:rsidRPr="007E3A29">
          <w:rPr>
            <w:rFonts w:ascii="Arial" w:eastAsia="Times New Roman" w:hAnsi="Arial" w:cs="Arial"/>
            <w:i/>
            <w:iCs/>
            <w:color w:val="0000FF"/>
            <w:kern w:val="0"/>
            <w:sz w:val="20"/>
            <w:szCs w:val="20"/>
            <w:u w:val="single"/>
            <w:lang w:eastAsia="it-IT" w:bidi="ar-SA"/>
          </w:rPr>
          <w:t>decreto legislativo 9 novembre 2012, n. 192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e.  “importo dovuto”, la somma da pagare entro il termine contrattuale o legale di pagamento, comprese le imposte, i dazi, le tasse o gli oneri applicabili indicati nella fattura o nella richiesta equivalente di pagamento.</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5.  Sono esclusi dal calcolo i periodi in cui la somma era inesigibile essendo la richiesta di pagamento oggetto di contestazione o contenzioso.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6.  L'indicatore di cui al comma 1 del presente articolo è utilizzato anche ai fini della disposizione di cui all' </w:t>
      </w:r>
      <w:hyperlink r:id="rId9" w:anchor="id=10LX0000798625ART98,__m=document" w:history="1">
        <w:r w:rsidRPr="007E3A29">
          <w:rPr>
            <w:rFonts w:ascii="Arial" w:eastAsia="Times New Roman" w:hAnsi="Arial" w:cs="Arial"/>
            <w:i/>
            <w:iCs/>
            <w:color w:val="0000FF"/>
            <w:kern w:val="0"/>
            <w:sz w:val="20"/>
            <w:szCs w:val="20"/>
            <w:u w:val="single"/>
            <w:lang w:eastAsia="it-IT" w:bidi="ar-SA"/>
          </w:rPr>
          <w:t>art. 41, comma 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Le amministrazioni regionali calcolano l'indicatore escludendo le transazioni riferibili alla Gestione Sanitaria Accentrata di cui all' </w:t>
      </w:r>
      <w:hyperlink r:id="rId10" w:anchor="id=10LX0000756196ART37,__m=document" w:history="1">
        <w:r w:rsidRPr="007E3A29">
          <w:rPr>
            <w:rFonts w:ascii="Arial" w:eastAsia="Times New Roman" w:hAnsi="Arial" w:cs="Arial"/>
            <w:i/>
            <w:iCs/>
            <w:color w:val="0000FF"/>
            <w:kern w:val="0"/>
            <w:sz w:val="20"/>
            <w:szCs w:val="20"/>
            <w:u w:val="single"/>
            <w:lang w:eastAsia="it-IT" w:bidi="ar-SA"/>
          </w:rPr>
          <w:t>art. 19, comma 2, lettera b), punto i), del decreto legislativo 23 giugno 2011, n. 118</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lastRenderedPageBreak/>
        <w:t xml:space="preserve">7.  Le amministrazioni regionali elaborano l'indicatore di tempestività dei pagamenti di cui ai commi 1 e 2, con riferimento all'intero bilancio regionale, alla Gestione Sanitaria Accentrata e alla componente non sanitaria.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8.  Per le amministrazioni centrali dello Stato, le note integrative allegate al bilancio disciplinate dall' </w:t>
      </w:r>
      <w:hyperlink r:id="rId11" w:anchor="id=10LX0000654083ART98,__m=document" w:history="1">
        <w:r w:rsidRPr="007E3A29">
          <w:rPr>
            <w:rFonts w:ascii="Arial" w:eastAsia="Times New Roman" w:hAnsi="Arial" w:cs="Arial"/>
            <w:i/>
            <w:iCs/>
            <w:color w:val="0000FF"/>
            <w:kern w:val="0"/>
            <w:sz w:val="20"/>
            <w:szCs w:val="20"/>
            <w:u w:val="single"/>
            <w:lang w:eastAsia="it-IT" w:bidi="ar-SA"/>
          </w:rPr>
          <w:t>art. 35, comma 2, della legge 31 dicembre 2009, n. 196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costituiscono il prospetto di cui all' </w:t>
      </w:r>
      <w:hyperlink r:id="rId12" w:anchor="id=10LX0000798625ART98,__m=document" w:history="1">
        <w:r w:rsidRPr="007E3A29">
          <w:rPr>
            <w:rFonts w:ascii="Arial" w:eastAsia="Times New Roman" w:hAnsi="Arial" w:cs="Arial"/>
            <w:i/>
            <w:iCs/>
            <w:color w:val="0000FF"/>
            <w:kern w:val="0"/>
            <w:sz w:val="20"/>
            <w:szCs w:val="20"/>
            <w:u w:val="single"/>
            <w:lang w:eastAsia="it-IT" w:bidi="ar-SA"/>
          </w:rPr>
          <w:t>art. 41 del decreto-legge 24 aprile 2014, n. 66</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9.  Gli enti vigilati e le unità locali di cui all' </w:t>
      </w:r>
      <w:hyperlink r:id="rId13" w:anchor="id=10LX0000754539ART46,__m=document" w:history="1">
        <w:r w:rsidRPr="007E3A29">
          <w:rPr>
            <w:rFonts w:ascii="Arial" w:eastAsia="Times New Roman" w:hAnsi="Arial" w:cs="Arial"/>
            <w:i/>
            <w:iCs/>
            <w:color w:val="0000FF"/>
            <w:kern w:val="0"/>
            <w:sz w:val="20"/>
            <w:szCs w:val="20"/>
            <w:u w:val="single"/>
            <w:lang w:eastAsia="it-IT" w:bidi="ar-SA"/>
          </w:rPr>
          <w:t>art. 19, comma 4, del decreto legislativo 31 maggio 2011, n. 91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trasmettono altresì l’«indicatore annuale di tempestività dei pagamenti», unitamente al bilancio consuntivo, al Ministero vigilante per il consolidamento e il monitoraggio degli obiettivi connessi all'azione pubblica.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b/>
          <w:bCs/>
          <w:kern w:val="0"/>
          <w:sz w:val="20"/>
          <w:szCs w:val="20"/>
          <w:lang w:eastAsia="it-IT" w:bidi="ar-SA"/>
        </w:rPr>
        <w:t>Art. 10.</w:t>
      </w:r>
      <w:r w:rsidRPr="007E3A29">
        <w:rPr>
          <w:rFonts w:ascii="Arial" w:eastAsia="Times New Roman" w:hAnsi="Arial" w:cs="Arial"/>
          <w:kern w:val="0"/>
          <w:sz w:val="20"/>
          <w:szCs w:val="20"/>
          <w:lang w:eastAsia="it-IT" w:bidi="ar-SA"/>
        </w:rPr>
        <w:t xml:space="preserve">  </w:t>
      </w:r>
      <w:r w:rsidRPr="007E3A29">
        <w:rPr>
          <w:rFonts w:ascii="Arial" w:eastAsia="Times New Roman" w:hAnsi="Arial" w:cs="Arial"/>
          <w:b/>
          <w:bCs/>
          <w:kern w:val="0"/>
          <w:sz w:val="20"/>
          <w:szCs w:val="20"/>
          <w:lang w:eastAsia="it-IT" w:bidi="ar-SA"/>
        </w:rPr>
        <w:t>Modalità per la pubblicazione dell'indicatore di tempestività dei pagamenti</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1.  Le amministrazioni pubblicano l’«indicatore annuale di tempestività dei pagamenti» di cui all' </w:t>
      </w:r>
      <w:hyperlink r:id="rId14" w:anchor="id=10LX0000806340ART21,__m=document" w:history="1">
        <w:r w:rsidRPr="007E3A29">
          <w:rPr>
            <w:rFonts w:ascii="Arial" w:eastAsia="Times New Roman" w:hAnsi="Arial" w:cs="Arial"/>
            <w:i/>
            <w:iCs/>
            <w:color w:val="0000FF"/>
            <w:kern w:val="0"/>
            <w:sz w:val="20"/>
            <w:szCs w:val="20"/>
            <w:u w:val="single"/>
            <w:lang w:eastAsia="it-IT" w:bidi="ar-SA"/>
          </w:rPr>
          <w:t>art. 9, comma 1</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31 gennaio dell'anno successivo a quello di riferimento,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2.  A decorrere dall'anno 2015, con cadenza trimestrale, le amministrazioni pubblicano l’«indicatore trimestrale di tempestività dei pagamenti» di cui all' </w:t>
      </w:r>
      <w:hyperlink r:id="rId15" w:anchor="id=10LX0000806340ART21,__m=document" w:history="1">
        <w:r w:rsidRPr="007E3A29">
          <w:rPr>
            <w:rFonts w:ascii="Arial" w:eastAsia="Times New Roman" w:hAnsi="Arial" w:cs="Arial"/>
            <w:i/>
            <w:iCs/>
            <w:color w:val="0000FF"/>
            <w:kern w:val="0"/>
            <w:sz w:val="20"/>
            <w:szCs w:val="20"/>
            <w:u w:val="single"/>
            <w:lang w:eastAsia="it-IT" w:bidi="ar-SA"/>
          </w:rPr>
          <w:t>art. 9, comma 2</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del presente decreto entro il trentesimo giorno dalla conclusione del trimestre cui si riferisce, secondo le modalità di cui al comma 3 del presente articolo. </w:t>
      </w:r>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20"/>
          <w:szCs w:val="20"/>
          <w:lang w:eastAsia="it-IT" w:bidi="ar-SA"/>
        </w:rPr>
      </w:pPr>
      <w:r w:rsidRPr="007E3A29">
        <w:rPr>
          <w:rFonts w:ascii="Arial" w:eastAsia="Times New Roman" w:hAnsi="Arial" w:cs="Arial"/>
          <w:kern w:val="0"/>
          <w:sz w:val="20"/>
          <w:szCs w:val="20"/>
          <w:lang w:eastAsia="it-IT" w:bidi="ar-SA"/>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7E3A29">
          <w:rPr>
            <w:rFonts w:ascii="Arial" w:eastAsia="Times New Roman" w:hAnsi="Arial" w:cs="Arial"/>
            <w:i/>
            <w:iCs/>
            <w:color w:val="0000FF"/>
            <w:kern w:val="0"/>
            <w:sz w:val="20"/>
            <w:szCs w:val="20"/>
            <w:u w:val="single"/>
            <w:lang w:eastAsia="it-IT" w:bidi="ar-SA"/>
          </w:rPr>
          <w:t>allegato A del decreto legislativo 14 marzo 2013, n. 33</w:t>
        </w:r>
        <w:r w:rsidRPr="007E3A29">
          <w:rPr>
            <w:rFonts w:ascii="Arial" w:eastAsia="Times New Roman" w:hAnsi="Arial" w:cs="Arial"/>
            <w:color w:val="0000FF"/>
            <w:kern w:val="0"/>
            <w:sz w:val="20"/>
            <w:szCs w:val="20"/>
            <w:u w:val="single"/>
            <w:lang w:eastAsia="it-IT" w:bidi="ar-SA"/>
          </w:rPr>
          <w:t xml:space="preserve"> </w:t>
        </w:r>
      </w:hyperlink>
      <w:r w:rsidRPr="007E3A29">
        <w:rPr>
          <w:rFonts w:ascii="Arial" w:eastAsia="Times New Roman" w:hAnsi="Arial" w:cs="Arial"/>
          <w:kern w:val="0"/>
          <w:sz w:val="20"/>
          <w:szCs w:val="20"/>
          <w:lang w:eastAsia="it-IT" w:bidi="ar-SA"/>
        </w:rPr>
        <w:t xml:space="preserve">, in un formato tabellare aperto che ne consenta l'esportazione, il trattamento e il riutilizzo ai sensi dell' </w:t>
      </w:r>
      <w:hyperlink r:id="rId17" w:anchor="id=10LX0000783063ART22,__m=document" w:history="1">
        <w:r w:rsidRPr="007E3A29">
          <w:rPr>
            <w:rFonts w:ascii="Arial" w:eastAsia="Times New Roman" w:hAnsi="Arial" w:cs="Arial"/>
            <w:i/>
            <w:iCs/>
            <w:color w:val="0000FF"/>
            <w:kern w:val="0"/>
            <w:sz w:val="20"/>
            <w:szCs w:val="20"/>
            <w:u w:val="single"/>
            <w:lang w:eastAsia="it-IT" w:bidi="ar-SA"/>
          </w:rPr>
          <w:t>art. 7 del decreto legislativo n. 33 del 2013</w:t>
        </w:r>
        <w:r w:rsidRPr="007E3A29">
          <w:rPr>
            <w:rFonts w:ascii="Arial" w:eastAsia="Times New Roman" w:hAnsi="Arial" w:cs="Arial"/>
            <w:color w:val="0000FF"/>
            <w:kern w:val="0"/>
            <w:sz w:val="20"/>
            <w:szCs w:val="20"/>
            <w:u w:val="single"/>
            <w:lang w:eastAsia="it-IT" w:bidi="ar-SA"/>
          </w:rPr>
          <w:t xml:space="preserve"> </w:t>
        </w:r>
      </w:hyperlink>
    </w:p>
    <w:p w:rsidR="007E3A29" w:rsidRPr="007E3A29" w:rsidRDefault="007E3A29" w:rsidP="007E3A29">
      <w:pPr>
        <w:widowControl/>
        <w:tabs>
          <w:tab w:val="left" w:pos="2520"/>
          <w:tab w:val="left" w:pos="3600"/>
          <w:tab w:val="left" w:pos="4680"/>
        </w:tabs>
        <w:suppressAutoHyphens w:val="0"/>
        <w:autoSpaceDN/>
        <w:jc w:val="both"/>
        <w:textAlignment w:val="auto"/>
        <w:rPr>
          <w:rFonts w:ascii="Arial" w:eastAsia="Times New Roman" w:hAnsi="Arial" w:cs="Arial"/>
          <w:kern w:val="0"/>
          <w:sz w:val="18"/>
          <w:szCs w:val="18"/>
          <w:lang w:eastAsia="it-IT" w:bidi="ar-SA"/>
        </w:rPr>
      </w:pPr>
    </w:p>
    <w:p w:rsidR="00CA3F5D" w:rsidRPr="00CA3F5D" w:rsidRDefault="00CA3F5D" w:rsidP="00CA3F5D">
      <w:pPr>
        <w:widowControl/>
        <w:pBdr>
          <w:top w:val="nil"/>
          <w:left w:val="nil"/>
          <w:bottom w:val="nil"/>
          <w:right w:val="nil"/>
          <w:between w:val="nil"/>
          <w:bar w:val="nil"/>
        </w:pBdr>
        <w:suppressAutoHyphens w:val="0"/>
        <w:autoSpaceDN/>
        <w:textAlignment w:val="auto"/>
        <w:rPr>
          <w:rFonts w:ascii="Calibri" w:eastAsia="Calibri" w:hAnsi="Calibri" w:cs="Calibri"/>
          <w:color w:val="000000"/>
          <w:kern w:val="0"/>
          <w:sz w:val="22"/>
          <w:szCs w:val="22"/>
          <w:u w:color="000000"/>
          <w:bdr w:val="nil"/>
          <w:lang w:eastAsia="it-IT" w:bidi="ar-SA"/>
        </w:rPr>
      </w:pPr>
    </w:p>
    <w:sectPr w:rsidR="00CA3F5D" w:rsidRPr="00CA3F5D" w:rsidSect="007E3A29">
      <w:headerReference w:type="default" r:id="rId18"/>
      <w:footerReference w:type="default" r:id="rId19"/>
      <w:pgSz w:w="16838" w:h="11906" w:orient="landscape"/>
      <w:pgMar w:top="1134" w:right="1103" w:bottom="1134"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32" w:rsidRDefault="00986B32" w:rsidP="00FA005D">
      <w:r>
        <w:separator/>
      </w:r>
    </w:p>
  </w:endnote>
  <w:endnote w:type="continuationSeparator" w:id="0">
    <w:p w:rsidR="00986B32" w:rsidRDefault="00986B32" w:rsidP="00F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E.R.S.U. – Ente Regionale per il diritto allo Studio Universitario</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Via Michele Coppino n. 18-Sassari</w:t>
    </w:r>
  </w:p>
  <w:p w:rsidR="00C45923" w:rsidRPr="007E3A29" w:rsidRDefault="00C45923" w:rsidP="00C45923">
    <w:pPr>
      <w:widowControl/>
      <w:tabs>
        <w:tab w:val="center" w:pos="4819"/>
        <w:tab w:val="right" w:pos="9638"/>
      </w:tabs>
      <w:suppressAutoHyphens w:val="0"/>
      <w:autoSpaceDN/>
      <w:jc w:val="center"/>
      <w:textAlignment w:val="auto"/>
      <w:rPr>
        <w:rFonts w:eastAsia="Calibri" w:cs="Times New Roman"/>
        <w:i/>
        <w:kern w:val="0"/>
        <w:sz w:val="16"/>
        <w:szCs w:val="16"/>
        <w:lang w:eastAsia="en-US" w:bidi="ar-SA"/>
      </w:rPr>
    </w:pPr>
    <w:r w:rsidRPr="007E3A29">
      <w:rPr>
        <w:rFonts w:eastAsia="Calibri" w:cs="Times New Roman"/>
        <w:i/>
        <w:kern w:val="0"/>
        <w:sz w:val="16"/>
        <w:szCs w:val="16"/>
        <w:lang w:eastAsia="en-US" w:bidi="ar-SA"/>
      </w:rPr>
      <w:t xml:space="preserve">pec: affarigenerali@pec.ersusassari.it </w:t>
    </w:r>
  </w:p>
  <w:p w:rsidR="00C45923" w:rsidRDefault="00C45923" w:rsidP="00C45923">
    <w:pPr>
      <w:pStyle w:val="Pidipagina"/>
      <w:jc w:val="center"/>
    </w:pPr>
  </w:p>
  <w:p w:rsidR="00C45923" w:rsidRDefault="00C4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32" w:rsidRDefault="00986B32" w:rsidP="00FA005D">
      <w:r>
        <w:separator/>
      </w:r>
    </w:p>
  </w:footnote>
  <w:footnote w:type="continuationSeparator" w:id="0">
    <w:p w:rsidR="00986B32" w:rsidRDefault="00986B32" w:rsidP="00F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5670"/>
      <w:gridCol w:w="4111"/>
    </w:tblGrid>
    <w:tr w:rsidR="00CA3F5D" w:rsidTr="0053252A">
      <w:trPr>
        <w:trHeight w:val="1843"/>
      </w:trPr>
      <w:tc>
        <w:tcPr>
          <w:tcW w:w="5670" w:type="dxa"/>
          <w:shd w:val="clear" w:color="auto" w:fill="auto"/>
        </w:tcPr>
        <w:p w:rsidR="00CA3F5D" w:rsidRDefault="00CA3F5D" w:rsidP="0053252A">
          <w:pPr>
            <w:pStyle w:val="Intestazione"/>
            <w:ind w:left="-112"/>
            <w:jc w:val="both"/>
          </w:pPr>
          <w:r>
            <w:rPr>
              <w:noProof/>
              <w:lang w:eastAsia="it-IT" w:bidi="ar-SA"/>
            </w:rPr>
            <w:drawing>
              <wp:anchor distT="0" distB="0" distL="114300" distR="114300" simplePos="0" relativeHeight="251659264" behindDoc="0" locked="0" layoutInCell="1" allowOverlap="1">
                <wp:simplePos x="0" y="0"/>
                <wp:positionH relativeFrom="column">
                  <wp:posOffset>24516</wp:posOffset>
                </wp:positionH>
                <wp:positionV relativeFrom="paragraph">
                  <wp:posOffset>121202</wp:posOffset>
                </wp:positionV>
                <wp:extent cx="1741170" cy="69342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tcPr>
        <w:p w:rsidR="00CA3F5D" w:rsidRDefault="00C9694D" w:rsidP="00C9694D">
          <w:pPr>
            <w:pStyle w:val="Intestazione"/>
            <w:tabs>
              <w:tab w:val="clear" w:pos="4819"/>
              <w:tab w:val="clear" w:pos="9638"/>
            </w:tabs>
            <w:jc w:val="right"/>
          </w:pPr>
          <w:r>
            <w:rPr>
              <w:noProof/>
              <w:lang w:eastAsia="it-IT" w:bidi="ar-SA"/>
            </w:rPr>
            <w:drawing>
              <wp:inline distT="0" distB="0" distL="0" distR="0" wp14:anchorId="5A3ACDEE">
                <wp:extent cx="1478942" cy="902933"/>
                <wp:effectExtent l="0" t="0" r="698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441" cy="919722"/>
                        </a:xfrm>
                        <a:prstGeom prst="rect">
                          <a:avLst/>
                        </a:prstGeom>
                        <a:noFill/>
                      </pic:spPr>
                    </pic:pic>
                  </a:graphicData>
                </a:graphic>
              </wp:inline>
            </w:drawing>
          </w:r>
        </w:p>
      </w:tc>
    </w:tr>
  </w:tbl>
  <w:p w:rsidR="00FA005D" w:rsidRPr="00CA3F5D" w:rsidRDefault="00FA005D" w:rsidP="001E55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A62A0"/>
    <w:multiLevelType w:val="hybridMultilevel"/>
    <w:tmpl w:val="6660E090"/>
    <w:lvl w:ilvl="0" w:tplc="27149144">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EA02F1"/>
    <w:multiLevelType w:val="hybridMultilevel"/>
    <w:tmpl w:val="2B20F06E"/>
    <w:lvl w:ilvl="0" w:tplc="EDB6DF44">
      <w:numFmt w:val="bullet"/>
      <w:lvlText w:val="-"/>
      <w:lvlJc w:val="left"/>
      <w:pPr>
        <w:ind w:left="1485" w:hanging="360"/>
      </w:pPr>
      <w:rPr>
        <w:rFonts w:ascii="Calibri" w:eastAsia="Lucida Sans Unicode" w:hAnsi="Calibri"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D"/>
    <w:rsid w:val="00061286"/>
    <w:rsid w:val="000975D2"/>
    <w:rsid w:val="000B3855"/>
    <w:rsid w:val="000D45B1"/>
    <w:rsid w:val="00105E97"/>
    <w:rsid w:val="001A7703"/>
    <w:rsid w:val="001E40F9"/>
    <w:rsid w:val="001E555F"/>
    <w:rsid w:val="00251C4B"/>
    <w:rsid w:val="00253386"/>
    <w:rsid w:val="0033437F"/>
    <w:rsid w:val="00345E06"/>
    <w:rsid w:val="003465F3"/>
    <w:rsid w:val="003843A7"/>
    <w:rsid w:val="003E097F"/>
    <w:rsid w:val="003F6865"/>
    <w:rsid w:val="00452D3D"/>
    <w:rsid w:val="004A7B6D"/>
    <w:rsid w:val="004E0037"/>
    <w:rsid w:val="004F4822"/>
    <w:rsid w:val="0053252A"/>
    <w:rsid w:val="00570B17"/>
    <w:rsid w:val="005F68E2"/>
    <w:rsid w:val="006373C9"/>
    <w:rsid w:val="006513F0"/>
    <w:rsid w:val="00660E02"/>
    <w:rsid w:val="00687D79"/>
    <w:rsid w:val="00766D20"/>
    <w:rsid w:val="0078088F"/>
    <w:rsid w:val="00785050"/>
    <w:rsid w:val="007A0248"/>
    <w:rsid w:val="007A3536"/>
    <w:rsid w:val="007E0E89"/>
    <w:rsid w:val="007E0FE2"/>
    <w:rsid w:val="007E3A29"/>
    <w:rsid w:val="00894764"/>
    <w:rsid w:val="00982DC9"/>
    <w:rsid w:val="00986B32"/>
    <w:rsid w:val="00994C73"/>
    <w:rsid w:val="00B02CA7"/>
    <w:rsid w:val="00BD09ED"/>
    <w:rsid w:val="00BE6836"/>
    <w:rsid w:val="00C164A5"/>
    <w:rsid w:val="00C45923"/>
    <w:rsid w:val="00C45A6C"/>
    <w:rsid w:val="00C619F5"/>
    <w:rsid w:val="00C803A9"/>
    <w:rsid w:val="00C95413"/>
    <w:rsid w:val="00C9694D"/>
    <w:rsid w:val="00CA3F5D"/>
    <w:rsid w:val="00D02A1D"/>
    <w:rsid w:val="00D87694"/>
    <w:rsid w:val="00D92E8B"/>
    <w:rsid w:val="00EA252B"/>
    <w:rsid w:val="00ED0BCA"/>
    <w:rsid w:val="00F75E1C"/>
    <w:rsid w:val="00FA005D"/>
    <w:rsid w:val="00FB6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845A4"/>
  <w15:chartTrackingRefBased/>
  <w15:docId w15:val="{6287ABC5-DA1A-418C-A158-EEF52C6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005D"/>
    <w:pPr>
      <w:tabs>
        <w:tab w:val="center" w:pos="4819"/>
        <w:tab w:val="right" w:pos="9638"/>
      </w:tabs>
    </w:pPr>
  </w:style>
  <w:style w:type="character" w:customStyle="1" w:styleId="IntestazioneCarattere">
    <w:name w:val="Intestazione Carattere"/>
    <w:basedOn w:val="Carpredefinitoparagrafo"/>
    <w:link w:val="Intestazione"/>
    <w:uiPriority w:val="99"/>
    <w:rsid w:val="00FA005D"/>
  </w:style>
  <w:style w:type="paragraph" w:styleId="Pidipagina">
    <w:name w:val="footer"/>
    <w:basedOn w:val="Normale"/>
    <w:link w:val="PidipaginaCarattere"/>
    <w:uiPriority w:val="99"/>
    <w:unhideWhenUsed/>
    <w:rsid w:val="00FA005D"/>
    <w:pPr>
      <w:tabs>
        <w:tab w:val="center" w:pos="4819"/>
        <w:tab w:val="right" w:pos="9638"/>
      </w:tabs>
    </w:pPr>
  </w:style>
  <w:style w:type="character" w:customStyle="1" w:styleId="PidipaginaCarattere">
    <w:name w:val="Piè di pagina Carattere"/>
    <w:basedOn w:val="Carpredefinitoparagrafo"/>
    <w:link w:val="Pidipagina"/>
    <w:uiPriority w:val="99"/>
    <w:rsid w:val="00FA005D"/>
  </w:style>
  <w:style w:type="table" w:styleId="Grigliatabella">
    <w:name w:val="Table Grid"/>
    <w:basedOn w:val="Tabellanormale"/>
    <w:uiPriority w:val="39"/>
    <w:rsid w:val="00F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A7703"/>
    <w:pPr>
      <w:widowControl w:val="0"/>
      <w:suppressAutoHyphens/>
      <w:autoSpaceDN w:val="0"/>
      <w:spacing w:after="0" w:line="240" w:lineRule="auto"/>
      <w:textAlignment w:val="baseline"/>
    </w:pPr>
    <w:rPr>
      <w:rFonts w:ascii="Times New Roman" w:eastAsia="Lucida Sans Unicode"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5" Type="http://schemas.openxmlformats.org/officeDocument/2006/relationships/footnotes" Target="footnotes.xml"/><Relationship Id="rId15"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1056</Words>
  <Characters>6022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NoraCalaresu</dc:creator>
  <cp:keywords/>
  <dc:description/>
  <cp:lastModifiedBy>Marvi Perra</cp:lastModifiedBy>
  <cp:revision>9</cp:revision>
  <dcterms:created xsi:type="dcterms:W3CDTF">2023-04-28T10:35:00Z</dcterms:created>
  <dcterms:modified xsi:type="dcterms:W3CDTF">2024-01-31T15:25:00Z</dcterms:modified>
</cp:coreProperties>
</file>